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7E3AA" w14:textId="02ADCB8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47F5D">
        <w:t>98bis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5D226E">
        <w:rPr>
          <w:sz w:val="32"/>
          <w:szCs w:val="32"/>
        </w:rPr>
        <w:t>9</w:t>
      </w:r>
      <w:r w:rsidR="00EC6267" w:rsidRPr="00EC6267">
        <w:rPr>
          <w:sz w:val="32"/>
          <w:szCs w:val="32"/>
        </w:rPr>
        <w:t>11224</w:t>
      </w:r>
    </w:p>
    <w:p w14:paraId="0925F11D" w14:textId="4D47518E" w:rsidR="00E90E49" w:rsidRPr="00CE0424" w:rsidRDefault="00147F5D" w:rsidP="00311702">
      <w:pPr>
        <w:pStyle w:val="3GPPHeader"/>
      </w:pPr>
      <w:r w:rsidRPr="00147F5D">
        <w:t>Chongqing, China,</w:t>
      </w:r>
      <w:r w:rsidR="0027144F" w:rsidRPr="00147F5D">
        <w:t xml:space="preserve"> </w:t>
      </w:r>
      <w:r w:rsidRPr="00147F5D">
        <w:t>Oct 14</w:t>
      </w:r>
      <w:r w:rsidRPr="00147F5D">
        <w:rPr>
          <w:vertAlign w:val="superscript"/>
        </w:rPr>
        <w:t>th</w:t>
      </w:r>
      <w:r w:rsidRPr="00147F5D">
        <w:t xml:space="preserve"> – 20</w:t>
      </w:r>
      <w:r w:rsidRPr="00147F5D">
        <w:rPr>
          <w:vertAlign w:val="superscript"/>
        </w:rPr>
        <w:t>th</w:t>
      </w:r>
      <w:r w:rsidR="00332619">
        <w:t xml:space="preserve">, </w:t>
      </w:r>
      <w:r w:rsidR="0027144F" w:rsidRPr="00147F5D">
        <w:t>20</w:t>
      </w:r>
      <w:r w:rsidR="005F3025" w:rsidRPr="00147F5D">
        <w:t>1</w:t>
      </w:r>
      <w:r w:rsidRPr="00147F5D">
        <w:t>9</w:t>
      </w:r>
    </w:p>
    <w:p w14:paraId="0F9F9EC9" w14:textId="77777777" w:rsidR="00E90E49" w:rsidRPr="00CE0424" w:rsidRDefault="00E90E49" w:rsidP="00357380">
      <w:pPr>
        <w:pStyle w:val="3GPPHeader"/>
      </w:pPr>
    </w:p>
    <w:p w14:paraId="799B2FCD" w14:textId="7E44FC06" w:rsidR="00E90E49" w:rsidRPr="005D226E" w:rsidRDefault="00E90E49" w:rsidP="00311702">
      <w:pPr>
        <w:pStyle w:val="3GPPHeader"/>
        <w:rPr>
          <w:sz w:val="22"/>
          <w:szCs w:val="22"/>
          <w:lang w:val="en-US"/>
        </w:rPr>
      </w:pPr>
      <w:r w:rsidRPr="005D226E">
        <w:rPr>
          <w:sz w:val="22"/>
          <w:szCs w:val="22"/>
          <w:lang w:val="en-US"/>
        </w:rPr>
        <w:t>Agenda Item:</w:t>
      </w:r>
      <w:r w:rsidRPr="005D226E">
        <w:rPr>
          <w:sz w:val="22"/>
          <w:szCs w:val="22"/>
          <w:lang w:val="en-US"/>
        </w:rPr>
        <w:tab/>
      </w:r>
      <w:r w:rsidR="003767A4" w:rsidRPr="005D226E">
        <w:rPr>
          <w:sz w:val="22"/>
          <w:szCs w:val="22"/>
          <w:lang w:val="en-US"/>
        </w:rPr>
        <w:t>7.2.8.3</w:t>
      </w:r>
    </w:p>
    <w:p w14:paraId="5185C0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342B06D" w14:textId="24CFF64A" w:rsidR="00E90E49" w:rsidRPr="00CE0424" w:rsidRDefault="003D3C45" w:rsidP="00311702">
      <w:pPr>
        <w:pStyle w:val="3GPPHeader"/>
        <w:rPr>
          <w:sz w:val="22"/>
          <w:szCs w:val="22"/>
        </w:rPr>
      </w:pPr>
      <w:r>
        <w:rPr>
          <w:sz w:val="22"/>
          <w:szCs w:val="22"/>
        </w:rPr>
        <w:t>Title:</w:t>
      </w:r>
      <w:r w:rsidR="00E90E49" w:rsidRPr="00CE0424">
        <w:rPr>
          <w:sz w:val="22"/>
          <w:szCs w:val="22"/>
        </w:rPr>
        <w:tab/>
      </w:r>
      <w:r w:rsidR="003767A4">
        <w:rPr>
          <w:sz w:val="22"/>
          <w:szCs w:val="22"/>
        </w:rPr>
        <w:t>Remaining issues on multi-beam enhancements</w:t>
      </w:r>
    </w:p>
    <w:p w14:paraId="0076F64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C6267">
        <w:rPr>
          <w:sz w:val="22"/>
          <w:szCs w:val="22"/>
        </w:rPr>
        <w:t>Discussion, Decision</w:t>
      </w:r>
    </w:p>
    <w:p w14:paraId="6ED3C45B" w14:textId="77777777" w:rsidR="00E90E49" w:rsidRPr="00CE0424" w:rsidRDefault="00E90E49" w:rsidP="00E90E49"/>
    <w:p w14:paraId="4D20D5D7" w14:textId="77777777" w:rsidR="00E90E49" w:rsidRPr="00CE0424" w:rsidRDefault="00230D18" w:rsidP="00CE0424">
      <w:pPr>
        <w:pStyle w:val="Heading1"/>
      </w:pPr>
      <w:r>
        <w:t>1</w:t>
      </w:r>
      <w:r>
        <w:tab/>
      </w:r>
      <w:r w:rsidR="00E90E49" w:rsidRPr="00CE0424">
        <w:t>Introduction</w:t>
      </w:r>
    </w:p>
    <w:p w14:paraId="4F49EF79" w14:textId="77777777" w:rsidR="000E1316" w:rsidRDefault="000E1316" w:rsidP="000E1316">
      <w:pPr>
        <w:pStyle w:val="BodyText"/>
      </w:pPr>
      <w:r>
        <w:t>Beam manag</w:t>
      </w:r>
      <w:bookmarkStart w:id="0" w:name="_GoBack"/>
      <w:bookmarkEnd w:id="0"/>
      <w:r>
        <w:t>ement solutions were standardized in Rel-15. These solutions were designed to support UEs with directional antennas. The solutions included transmission of beam indications to the UE, reporting of L1-RSRP based on CSI-RS and SS/PBCH block and beam recovery solutions.</w:t>
      </w:r>
    </w:p>
    <w:p w14:paraId="7FB86501" w14:textId="42B94750" w:rsidR="00477768" w:rsidRPr="00CE0424" w:rsidRDefault="000E1316" w:rsidP="00CE0424">
      <w:pPr>
        <w:pStyle w:val="BodyText"/>
      </w:pPr>
      <w:r>
        <w:t xml:space="preserve">The release-16 NR </w:t>
      </w:r>
      <w:proofErr w:type="spellStart"/>
      <w:r>
        <w:t>eMIMO</w:t>
      </w:r>
      <w:proofErr w:type="spellEnd"/>
      <w:r>
        <w:t xml:space="preserve"> WID </w:t>
      </w:r>
      <w:r>
        <w:fldChar w:fldCharType="begin"/>
      </w:r>
      <w:r>
        <w:instrText xml:space="preserve"> REF _Ref20812105 \r \h </w:instrText>
      </w:r>
      <w:r>
        <w:fldChar w:fldCharType="separate"/>
      </w:r>
      <w:r w:rsidR="00104470">
        <w:t>[1]</w:t>
      </w:r>
      <w:r>
        <w:fldChar w:fldCharType="end"/>
      </w:r>
      <w:r>
        <w:t xml:space="preserve"> includes improvements to beam management. In this contribution we describe the remaining issues of the multi-beam operation enhancements.</w:t>
      </w:r>
    </w:p>
    <w:p w14:paraId="6007D7A4" w14:textId="77777777" w:rsidR="004000E8" w:rsidRPr="00CE0424" w:rsidRDefault="00230D18" w:rsidP="00CE0424">
      <w:pPr>
        <w:pStyle w:val="Heading1"/>
      </w:pPr>
      <w:bookmarkStart w:id="1" w:name="_Ref178064866"/>
      <w:r>
        <w:t>2</w:t>
      </w:r>
      <w:r>
        <w:tab/>
      </w:r>
      <w:r w:rsidR="004000E8" w:rsidRPr="00CE0424">
        <w:t>Discussion</w:t>
      </w:r>
      <w:bookmarkEnd w:id="1"/>
    </w:p>
    <w:p w14:paraId="27E88738" w14:textId="7E8758C4" w:rsidR="00F63950" w:rsidRDefault="00230D18" w:rsidP="00F63950">
      <w:pPr>
        <w:pStyle w:val="Heading2"/>
      </w:pPr>
      <w:r>
        <w:t>2.1</w:t>
      </w:r>
      <w:r>
        <w:tab/>
      </w:r>
      <w:r w:rsidR="00560E5D">
        <w:t>Signalling and latency reduction</w:t>
      </w:r>
    </w:p>
    <w:p w14:paraId="1B4C5FE2" w14:textId="46BF9CC3" w:rsidR="00560E5D" w:rsidRDefault="00560E5D" w:rsidP="00560E5D">
      <w:pPr>
        <w:pStyle w:val="Heading3"/>
      </w:pPr>
      <w:r>
        <w:t>2.1.1</w:t>
      </w:r>
      <w:r>
        <w:tab/>
        <w:t xml:space="preserve">Spatial relation update for PUCCH </w:t>
      </w:r>
    </w:p>
    <w:p w14:paraId="3FEDBEAE" w14:textId="6A2F9AB1" w:rsidR="00174433" w:rsidRPr="00174433" w:rsidRDefault="00174433" w:rsidP="00174433">
      <w:pPr>
        <w:pStyle w:val="BodyText"/>
      </w:pPr>
      <w:r>
        <w:t>In RAN1#97, the following working assumption was reached:</w:t>
      </w:r>
    </w:p>
    <w:p w14:paraId="76BA6728" w14:textId="77777777" w:rsidR="00174433" w:rsidRDefault="00174433" w:rsidP="00174433">
      <w:pPr>
        <w:pStyle w:val="BodyText"/>
      </w:pPr>
      <w:r>
        <w:rPr>
          <w:noProof/>
        </w:rPr>
        <mc:AlternateContent>
          <mc:Choice Requires="wps">
            <w:drawing>
              <wp:inline distT="0" distB="0" distL="0" distR="0" wp14:anchorId="68146CE1" wp14:editId="72A1DD9C">
                <wp:extent cx="6096000" cy="1752600"/>
                <wp:effectExtent l="0" t="0" r="19050" b="20955"/>
                <wp:docPr id="7" name="Text Box 7"/>
                <wp:cNvGraphicFramePr/>
                <a:graphic xmlns:a="http://schemas.openxmlformats.org/drawingml/2006/main">
                  <a:graphicData uri="http://schemas.microsoft.com/office/word/2010/wordprocessingShape">
                    <wps:wsp>
                      <wps:cNvSpPr txBox="1"/>
                      <wps:spPr>
                        <a:xfrm>
                          <a:off x="0" y="0"/>
                          <a:ext cx="6096000" cy="1752600"/>
                        </a:xfrm>
                        <a:prstGeom prst="rect">
                          <a:avLst/>
                        </a:prstGeom>
                        <a:solidFill>
                          <a:schemeClr val="lt1"/>
                        </a:solidFill>
                        <a:ln w="6350">
                          <a:solidFill>
                            <a:prstClr val="black"/>
                          </a:solidFill>
                        </a:ln>
                      </wps:spPr>
                      <wps:txbx>
                        <w:txbxContent>
                          <w:p w14:paraId="055C514B" w14:textId="77777777" w:rsidR="00384AC2" w:rsidRPr="006918FB" w:rsidRDefault="00384AC2" w:rsidP="008733F7">
                            <w:pPr>
                              <w:rPr>
                                <w:b/>
                                <w:szCs w:val="22"/>
                                <w:highlight w:val="darkYellow"/>
                              </w:rPr>
                            </w:pPr>
                            <w:r w:rsidRPr="006918FB">
                              <w:rPr>
                                <w:b/>
                                <w:szCs w:val="22"/>
                                <w:highlight w:val="darkYellow"/>
                              </w:rPr>
                              <w:t>Working Assumption</w:t>
                            </w:r>
                          </w:p>
                          <w:p w14:paraId="41A75BD9" w14:textId="77777777" w:rsidR="00384AC2" w:rsidRPr="006918FB" w:rsidRDefault="00384AC2" w:rsidP="008733F7">
                            <w:pPr>
                              <w:pStyle w:val="LGTdoc"/>
                              <w:spacing w:afterLines="0" w:line="240" w:lineRule="auto"/>
                              <w:contextualSpacing/>
                              <w:rPr>
                                <w:szCs w:val="22"/>
                                <w:lang w:val="en-US"/>
                              </w:rPr>
                            </w:pPr>
                            <w:r w:rsidRPr="006918FB">
                              <w:rPr>
                                <w:szCs w:val="22"/>
                                <w:lang w:val="en-US"/>
                              </w:rPr>
                              <w:t>For the supported feature of simultaneous update/indication of a single spatial relation per group of PUCCH by using one MAC CE, the following configuration options for the group are supported:</w:t>
                            </w:r>
                          </w:p>
                          <w:p w14:paraId="4C7B771D" w14:textId="77777777" w:rsidR="00384AC2" w:rsidRPr="006918FB" w:rsidRDefault="00384AC2" w:rsidP="008733F7">
                            <w:pPr>
                              <w:pStyle w:val="LGTdoc"/>
                              <w:numPr>
                                <w:ilvl w:val="0"/>
                                <w:numId w:val="23"/>
                              </w:numPr>
                              <w:spacing w:afterLines="0" w:after="0" w:line="240" w:lineRule="auto"/>
                              <w:contextualSpacing/>
                              <w:rPr>
                                <w:szCs w:val="22"/>
                                <w:lang w:val="en-US"/>
                              </w:rPr>
                            </w:pPr>
                            <w:r w:rsidRPr="006918FB">
                              <w:rPr>
                                <w:szCs w:val="22"/>
                                <w:lang w:val="en-US"/>
                              </w:rPr>
                              <w:t>At least up to two groups per BWP</w:t>
                            </w:r>
                          </w:p>
                          <w:p w14:paraId="379560DD" w14:textId="77777777" w:rsidR="00384AC2" w:rsidRPr="006918FB" w:rsidRDefault="00384AC2" w:rsidP="008733F7">
                            <w:pPr>
                              <w:pStyle w:val="LGTdoc"/>
                              <w:numPr>
                                <w:ilvl w:val="1"/>
                                <w:numId w:val="23"/>
                              </w:numPr>
                              <w:spacing w:afterLines="0" w:after="0" w:line="240" w:lineRule="auto"/>
                              <w:contextualSpacing/>
                              <w:rPr>
                                <w:szCs w:val="22"/>
                                <w:lang w:val="en-US"/>
                              </w:rPr>
                            </w:pPr>
                            <w:r w:rsidRPr="006918FB">
                              <w:rPr>
                                <w:szCs w:val="22"/>
                                <w:lang w:val="en-US"/>
                              </w:rPr>
                              <w:t>FFS: Details on configuring the groups including whether to use implicit method or explicit method</w:t>
                            </w:r>
                          </w:p>
                          <w:p w14:paraId="78B1C324" w14:textId="77777777" w:rsidR="00384AC2" w:rsidRPr="006918FB" w:rsidRDefault="00384AC2" w:rsidP="008733F7">
                            <w:pPr>
                              <w:pStyle w:val="LGTdoc"/>
                              <w:numPr>
                                <w:ilvl w:val="2"/>
                                <w:numId w:val="23"/>
                              </w:numPr>
                              <w:spacing w:afterLines="0" w:after="0" w:line="240" w:lineRule="auto"/>
                              <w:contextualSpacing/>
                              <w:rPr>
                                <w:szCs w:val="22"/>
                                <w:lang w:val="en-US"/>
                              </w:rPr>
                            </w:pPr>
                            <w:r w:rsidRPr="006918FB">
                              <w:rPr>
                                <w:szCs w:val="22"/>
                                <w:lang w:val="en-US"/>
                              </w:rPr>
                              <w:t>For example, each corresponding to different TRP/panel, at least for multi-TRP/panel case</w:t>
                            </w:r>
                          </w:p>
                          <w:p w14:paraId="56983982" w14:textId="77777777" w:rsidR="00384AC2" w:rsidRPr="006918FB" w:rsidRDefault="00384AC2" w:rsidP="008733F7">
                            <w:pPr>
                              <w:pStyle w:val="LGTdoc"/>
                              <w:numPr>
                                <w:ilvl w:val="2"/>
                                <w:numId w:val="23"/>
                              </w:numPr>
                              <w:spacing w:afterLines="0" w:after="0" w:line="240" w:lineRule="auto"/>
                              <w:contextualSpacing/>
                              <w:rPr>
                                <w:szCs w:val="22"/>
                                <w:lang w:val="en-US"/>
                              </w:rPr>
                            </w:pPr>
                            <w:r w:rsidRPr="006918FB">
                              <w:rPr>
                                <w:szCs w:val="22"/>
                                <w:lang w:val="en-US"/>
                              </w:rPr>
                              <w:t>Another example, each corresponding to different active spatial relation at least for single TRP case</w:t>
                            </w:r>
                          </w:p>
                          <w:p w14:paraId="0881C708" w14:textId="48A11308" w:rsidR="00384AC2" w:rsidRPr="008733F7" w:rsidRDefault="00384AC2" w:rsidP="008733F7">
                            <w:pPr>
                              <w:pStyle w:val="LGTdoc"/>
                              <w:numPr>
                                <w:ilvl w:val="1"/>
                                <w:numId w:val="23"/>
                              </w:numPr>
                              <w:spacing w:afterLines="0" w:after="0" w:line="240" w:lineRule="auto"/>
                              <w:contextualSpacing/>
                              <w:rPr>
                                <w:szCs w:val="22"/>
                                <w:lang w:val="en-US"/>
                              </w:rPr>
                            </w:pPr>
                            <w:r w:rsidRPr="006918FB">
                              <w:rPr>
                                <w:szCs w:val="22"/>
                                <w:lang w:val="en-US"/>
                              </w:rPr>
                              <w:t>If there is no consensus to support more than two groups, only up to two groups will be supported in Rel-16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8146CE1" id="_x0000_t202" coordsize="21600,21600" o:spt="202" path="m,l,21600r21600,l21600,xe">
                <v:stroke joinstyle="miter"/>
                <v:path gradientshapeok="t" o:connecttype="rect"/>
              </v:shapetype>
              <v:shape id="Text Box 7" o:spid="_x0000_s1026" type="#_x0000_t202" style="width:480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" fillcolor="white [3201]" strokeweight=".5pt">
                <v:textbox style="mso-fit-shape-to-text:t">
                  <w:txbxContent>
                    <w:p w14:paraId="055C514B" w14:textId="77777777" w:rsidR="00384AC2" w:rsidRPr="006918FB" w:rsidRDefault="00384AC2" w:rsidP="008733F7">
                      <w:pPr>
                        <w:rPr>
                          <w:b/>
                          <w:szCs w:val="22"/>
                          <w:highlight w:val="darkYellow"/>
                        </w:rPr>
                      </w:pPr>
                      <w:r w:rsidRPr="006918FB">
                        <w:rPr>
                          <w:b/>
                          <w:szCs w:val="22"/>
                          <w:highlight w:val="darkYellow"/>
                        </w:rPr>
                        <w:t>Working Assumption</w:t>
                      </w:r>
                    </w:p>
                    <w:p w14:paraId="41A75BD9" w14:textId="77777777" w:rsidR="00384AC2" w:rsidRPr="006918FB" w:rsidRDefault="00384AC2" w:rsidP="008733F7">
                      <w:pPr>
                        <w:pStyle w:val="LGTdoc"/>
                        <w:spacing w:afterLines="0" w:line="240" w:lineRule="auto"/>
                        <w:contextualSpacing/>
                        <w:rPr>
                          <w:szCs w:val="22"/>
                          <w:lang w:val="en-US"/>
                        </w:rPr>
                      </w:pPr>
                      <w:r w:rsidRPr="006918FB">
                        <w:rPr>
                          <w:szCs w:val="22"/>
                          <w:lang w:val="en-US"/>
                        </w:rPr>
                        <w:t>For the supported feature of simultaneous update/indication of a single spatial relation per group of PUCCH by using one MAC CE, the following configuration options for the group are supported:</w:t>
                      </w:r>
                    </w:p>
                    <w:p w14:paraId="4C7B771D" w14:textId="77777777" w:rsidR="00384AC2" w:rsidRPr="006918FB" w:rsidRDefault="00384AC2" w:rsidP="008733F7">
                      <w:pPr>
                        <w:pStyle w:val="LGTdoc"/>
                        <w:numPr>
                          <w:ilvl w:val="0"/>
                          <w:numId w:val="23"/>
                        </w:numPr>
                        <w:spacing w:afterLines="0" w:after="0" w:line="240" w:lineRule="auto"/>
                        <w:contextualSpacing/>
                        <w:rPr>
                          <w:szCs w:val="22"/>
                          <w:lang w:val="en-US"/>
                        </w:rPr>
                      </w:pPr>
                      <w:r w:rsidRPr="006918FB">
                        <w:rPr>
                          <w:szCs w:val="22"/>
                          <w:lang w:val="en-US"/>
                        </w:rPr>
                        <w:t>At least up to two groups per BWP</w:t>
                      </w:r>
                    </w:p>
                    <w:p w14:paraId="379560DD" w14:textId="77777777" w:rsidR="00384AC2" w:rsidRPr="006918FB" w:rsidRDefault="00384AC2" w:rsidP="008733F7">
                      <w:pPr>
                        <w:pStyle w:val="LGTdoc"/>
                        <w:numPr>
                          <w:ilvl w:val="1"/>
                          <w:numId w:val="23"/>
                        </w:numPr>
                        <w:spacing w:afterLines="0" w:after="0" w:line="240" w:lineRule="auto"/>
                        <w:contextualSpacing/>
                        <w:rPr>
                          <w:szCs w:val="22"/>
                          <w:lang w:val="en-US"/>
                        </w:rPr>
                      </w:pPr>
                      <w:r w:rsidRPr="006918FB">
                        <w:rPr>
                          <w:szCs w:val="22"/>
                          <w:lang w:val="en-US"/>
                        </w:rPr>
                        <w:t>FFS: Details on configuring the groups including whether to use implicit method or explicit method</w:t>
                      </w:r>
                    </w:p>
                    <w:p w14:paraId="78B1C324" w14:textId="77777777" w:rsidR="00384AC2" w:rsidRPr="006918FB" w:rsidRDefault="00384AC2" w:rsidP="008733F7">
                      <w:pPr>
                        <w:pStyle w:val="LGTdoc"/>
                        <w:numPr>
                          <w:ilvl w:val="2"/>
                          <w:numId w:val="23"/>
                        </w:numPr>
                        <w:spacing w:afterLines="0" w:after="0" w:line="240" w:lineRule="auto"/>
                        <w:contextualSpacing/>
                        <w:rPr>
                          <w:szCs w:val="22"/>
                          <w:lang w:val="en-US"/>
                        </w:rPr>
                      </w:pPr>
                      <w:r w:rsidRPr="006918FB">
                        <w:rPr>
                          <w:szCs w:val="22"/>
                          <w:lang w:val="en-US"/>
                        </w:rPr>
                        <w:t>For example, each corresponding to different TRP/panel, at least for multi-TRP/panel case</w:t>
                      </w:r>
                    </w:p>
                    <w:p w14:paraId="56983982" w14:textId="77777777" w:rsidR="00384AC2" w:rsidRPr="006918FB" w:rsidRDefault="00384AC2" w:rsidP="008733F7">
                      <w:pPr>
                        <w:pStyle w:val="LGTdoc"/>
                        <w:numPr>
                          <w:ilvl w:val="2"/>
                          <w:numId w:val="23"/>
                        </w:numPr>
                        <w:spacing w:afterLines="0" w:after="0" w:line="240" w:lineRule="auto"/>
                        <w:contextualSpacing/>
                        <w:rPr>
                          <w:szCs w:val="22"/>
                          <w:lang w:val="en-US"/>
                        </w:rPr>
                      </w:pPr>
                      <w:r w:rsidRPr="006918FB">
                        <w:rPr>
                          <w:szCs w:val="22"/>
                          <w:lang w:val="en-US"/>
                        </w:rPr>
                        <w:t>Another example, each corresponding to different active spatial relation at least for single TRP case</w:t>
                      </w:r>
                    </w:p>
                    <w:p w14:paraId="0881C708" w14:textId="48A11308" w:rsidR="00384AC2" w:rsidRPr="008733F7" w:rsidRDefault="00384AC2" w:rsidP="008733F7">
                      <w:pPr>
                        <w:pStyle w:val="LGTdoc"/>
                        <w:numPr>
                          <w:ilvl w:val="1"/>
                          <w:numId w:val="23"/>
                        </w:numPr>
                        <w:spacing w:afterLines="0" w:after="0" w:line="240" w:lineRule="auto"/>
                        <w:contextualSpacing/>
                        <w:rPr>
                          <w:szCs w:val="22"/>
                          <w:lang w:val="en-US"/>
                        </w:rPr>
                      </w:pPr>
                      <w:r w:rsidRPr="006918FB">
                        <w:rPr>
                          <w:szCs w:val="22"/>
                          <w:lang w:val="en-US"/>
                        </w:rPr>
                        <w:t>If there is no consensus to support more than two groups, only up to two groups will be supported in Rel-16</w:t>
                      </w:r>
                    </w:p>
                  </w:txbxContent>
                </v:textbox>
                <w10:anchorlock/>
              </v:shape>
            </w:pict>
          </mc:Fallback>
        </mc:AlternateContent>
      </w:r>
    </w:p>
    <w:p w14:paraId="7E8BA0DD" w14:textId="5E12D25C" w:rsidR="00174433" w:rsidRDefault="008733F7" w:rsidP="008733F7">
      <w:pPr>
        <w:pStyle w:val="BodyText"/>
      </w:pPr>
      <w:r>
        <w:t xml:space="preserve">In our understanding, having more than one PUCCH group is motivated by the application in a multi-TRP multi-DCI scenario. The signalling structure for this scenario </w:t>
      </w:r>
      <w:r w:rsidR="008669AB">
        <w:t>is still</w:t>
      </w:r>
      <w:r>
        <w:t xml:space="preserve"> somewhat unclear, but </w:t>
      </w:r>
      <w:r w:rsidR="008669AB">
        <w:t>since there are only two RAN1 meetings left, this decision cannot be delayed any further</w:t>
      </w:r>
      <w:r>
        <w:t>. To perform efficient update of PUCCH spatial relations, we propose to confirm the working assumption:</w:t>
      </w:r>
    </w:p>
    <w:p w14:paraId="23B9AB33" w14:textId="3AF28389" w:rsidR="008733F7" w:rsidRDefault="008733F7" w:rsidP="008733F7">
      <w:pPr>
        <w:pStyle w:val="Proposal"/>
      </w:pPr>
      <w:bookmarkStart w:id="2" w:name="_Toc21098158"/>
      <w:r>
        <w:t xml:space="preserve">Confirm the working assumption about </w:t>
      </w:r>
      <w:r w:rsidR="00FE661E">
        <w:t xml:space="preserve">at least </w:t>
      </w:r>
      <w:r>
        <w:t>2 groups of PUCCH resources.</w:t>
      </w:r>
      <w:bookmarkEnd w:id="2"/>
    </w:p>
    <w:p w14:paraId="7950D94D" w14:textId="14FABAF1" w:rsidR="00832AB6" w:rsidRDefault="00832AB6" w:rsidP="008733F7">
      <w:pPr>
        <w:pStyle w:val="BodyText"/>
      </w:pPr>
      <w:r>
        <w:t xml:space="preserve">Once we have decided to introduce this group, it would seem unfortunate to limit this to only two groups. However, there does not seem to be a need for a very large number of groups. </w:t>
      </w:r>
      <w:r w:rsidR="00914425">
        <w:t>Hence,</w:t>
      </w:r>
      <w:r>
        <w:t xml:space="preserve"> we propose</w:t>
      </w:r>
    </w:p>
    <w:p w14:paraId="242A7A17" w14:textId="63CD86AA" w:rsidR="00832AB6" w:rsidRDefault="00832AB6" w:rsidP="008733F7">
      <w:pPr>
        <w:pStyle w:val="Proposal"/>
      </w:pPr>
      <w:r>
        <w:lastRenderedPageBreak/>
        <w:t xml:space="preserve"> </w:t>
      </w:r>
      <w:bookmarkStart w:id="3" w:name="_Toc21098159"/>
      <w:r>
        <w:t>Introduce 4 groups of PUCCH resources.</w:t>
      </w:r>
      <w:bookmarkEnd w:id="3"/>
    </w:p>
    <w:p w14:paraId="185D7480" w14:textId="60E09E6C" w:rsidR="008733F7" w:rsidRDefault="008733F7" w:rsidP="008733F7">
      <w:pPr>
        <w:pStyle w:val="BodyText"/>
      </w:pPr>
      <w:r>
        <w:t>To maximize the benefit</w:t>
      </w:r>
      <w:r w:rsidR="00CA18E0">
        <w:t>s</w:t>
      </w:r>
      <w:r>
        <w:t xml:space="preserve"> of the PUCCH group, </w:t>
      </w:r>
      <w:r w:rsidR="003B5187">
        <w:t>and to keep the MAC CE signalling to a minimum, the PUCCH group</w:t>
      </w:r>
      <w:r>
        <w:t xml:space="preserve"> should be explicitly defined:</w:t>
      </w:r>
    </w:p>
    <w:p w14:paraId="6D6839CF" w14:textId="6445B293" w:rsidR="00832AB6" w:rsidRDefault="003726CD" w:rsidP="008733F7">
      <w:pPr>
        <w:pStyle w:val="Proposal"/>
      </w:pPr>
      <w:bookmarkStart w:id="4" w:name="_Toc21098160"/>
      <w:r>
        <w:t xml:space="preserve">A PUCCH group is defined explicitly and contains </w:t>
      </w:r>
      <w:proofErr w:type="gramStart"/>
      <w:r>
        <w:t>a number of</w:t>
      </w:r>
      <w:proofErr w:type="gramEnd"/>
      <w:r>
        <w:t xml:space="preserve"> PUCCH resources.</w:t>
      </w:r>
      <w:bookmarkEnd w:id="4"/>
    </w:p>
    <w:p w14:paraId="0CD0B2F7" w14:textId="2CC48B7B" w:rsidR="000F7587" w:rsidRDefault="000F7587" w:rsidP="008733F7">
      <w:pPr>
        <w:pStyle w:val="BodyText"/>
      </w:pPr>
      <w:r>
        <w:t xml:space="preserve">Remember that the motivation for introducing the PUCCH group was to reduce the MAC CE signalling. With an explicit PUCCH group, one MAC CE can be used to </w:t>
      </w:r>
      <w:r>
        <w:t>(</w:t>
      </w:r>
      <w:r>
        <w:t>initially</w:t>
      </w:r>
      <w:r>
        <w:t>)</w:t>
      </w:r>
      <w:r>
        <w:t xml:space="preserve"> set the spatial relation for all PUCCH resources, and a single MAC CE can be used to update the spatial relation </w:t>
      </w:r>
      <w:r>
        <w:t xml:space="preserve">for all PUCCH resources </w:t>
      </w:r>
      <w:r>
        <w:t>when necessary.</w:t>
      </w:r>
    </w:p>
    <w:p w14:paraId="15DCA142" w14:textId="7F697C40" w:rsidR="003726CD" w:rsidRDefault="003726CD" w:rsidP="008733F7">
      <w:pPr>
        <w:pStyle w:val="BodyText"/>
      </w:pPr>
      <w:r>
        <w:t>In RAN1, there has been a discussion to update TCI states across CCs, to save signalling. The same motivation exists also for PUCCH spatial relations: it may be beneficial to simultaneously define the spatial relation for PUCCH resources in different CCs.</w:t>
      </w:r>
    </w:p>
    <w:p w14:paraId="56525111" w14:textId="7FA22EFC" w:rsidR="003726CD" w:rsidRDefault="003726CD" w:rsidP="003726CD">
      <w:pPr>
        <w:pStyle w:val="Observation"/>
      </w:pPr>
      <w:bookmarkStart w:id="5" w:name="_Toc21098136"/>
      <w:r>
        <w:t xml:space="preserve">In CA, it may be beneficial to simultaneously update the spatial relation of PUCCH resources in difference </w:t>
      </w:r>
      <w:proofErr w:type="spellStart"/>
      <w:r>
        <w:t>SCells</w:t>
      </w:r>
      <w:proofErr w:type="spellEnd"/>
      <w:r w:rsidR="00104470">
        <w:t xml:space="preserve"> for different BWPs</w:t>
      </w:r>
      <w:r>
        <w:t>.</w:t>
      </w:r>
      <w:bookmarkEnd w:id="5"/>
    </w:p>
    <w:p w14:paraId="7FA319B3" w14:textId="191264AE" w:rsidR="003726CD" w:rsidRDefault="003726CD" w:rsidP="003726CD">
      <w:pPr>
        <w:pStyle w:val="BodyText"/>
      </w:pPr>
      <w:r>
        <w:t xml:space="preserve">We note that this can be accomplished if the </w:t>
      </w:r>
      <w:r w:rsidR="00DF31AD">
        <w:t>PUCCH group is defined on cell group level, although the signalling details are up to RAN2:</w:t>
      </w:r>
    </w:p>
    <w:p w14:paraId="05DD403D" w14:textId="0D7BCCE8" w:rsidR="008733F7" w:rsidRDefault="00DF31AD" w:rsidP="008733F7">
      <w:pPr>
        <w:pStyle w:val="Proposal"/>
      </w:pPr>
      <w:bookmarkStart w:id="6" w:name="_Toc21098161"/>
      <w:r>
        <w:t>A PUCCH group can contain PUCCH resources from different serving cells.</w:t>
      </w:r>
      <w:bookmarkEnd w:id="6"/>
    </w:p>
    <w:p w14:paraId="6170AA89" w14:textId="022FCAD5" w:rsidR="0090075D" w:rsidRDefault="0090075D" w:rsidP="0090075D">
      <w:pPr>
        <w:pStyle w:val="BodyText"/>
      </w:pPr>
      <w:r>
        <w:t xml:space="preserve">To simplify the design in RAN2, the above information should be included in </w:t>
      </w:r>
      <w:proofErr w:type="gramStart"/>
      <w:r>
        <w:t>an</w:t>
      </w:r>
      <w:proofErr w:type="gramEnd"/>
      <w:r>
        <w:t xml:space="preserve"> LS to RAN2:</w:t>
      </w:r>
    </w:p>
    <w:p w14:paraId="72A8162E" w14:textId="738B3345" w:rsidR="0090075D" w:rsidRDefault="0090075D" w:rsidP="0090075D">
      <w:pPr>
        <w:pStyle w:val="Proposal"/>
      </w:pPr>
      <w:bookmarkStart w:id="7" w:name="_Toc21098162"/>
      <w:r>
        <w:t xml:space="preserve">Send </w:t>
      </w:r>
      <w:proofErr w:type="gramStart"/>
      <w:r>
        <w:t>an</w:t>
      </w:r>
      <w:proofErr w:type="gramEnd"/>
      <w:r>
        <w:t xml:space="preserve"> LS to RAN2 asking RAN2 to define the signalling related to the PUCCH group. The PUCCH group has the following properties:</w:t>
      </w:r>
      <w:bookmarkEnd w:id="7"/>
    </w:p>
    <w:p w14:paraId="0368A790" w14:textId="54DAB070" w:rsidR="0090075D" w:rsidRDefault="0090075D" w:rsidP="0090075D">
      <w:pPr>
        <w:pStyle w:val="Proposal"/>
        <w:numPr>
          <w:ilvl w:val="1"/>
          <w:numId w:val="3"/>
        </w:numPr>
      </w:pPr>
      <w:bookmarkStart w:id="8" w:name="_Toc21098163"/>
      <w:r>
        <w:t xml:space="preserve">A PUCCH group is explicitly defined and contains PUCCH resources </w:t>
      </w:r>
      <w:r w:rsidR="00B40E56">
        <w:t xml:space="preserve">potentially </w:t>
      </w:r>
      <w:r>
        <w:t>in different serving cells</w:t>
      </w:r>
      <w:r w:rsidR="005B1F7B">
        <w:t xml:space="preserve"> and in different BWPs</w:t>
      </w:r>
      <w:r>
        <w:t>.</w:t>
      </w:r>
      <w:bookmarkEnd w:id="8"/>
    </w:p>
    <w:p w14:paraId="7E84FEFA" w14:textId="3BF771AB" w:rsidR="0090075D" w:rsidRDefault="00B40E56" w:rsidP="0090075D">
      <w:pPr>
        <w:pStyle w:val="Proposal"/>
        <w:numPr>
          <w:ilvl w:val="1"/>
          <w:numId w:val="3"/>
        </w:numPr>
      </w:pPr>
      <w:bookmarkStart w:id="9" w:name="_Toc21098164"/>
      <w:r>
        <w:t>A MAC CE is required to update the spatial relation of all PUCCH resources in a PUCCH group.</w:t>
      </w:r>
      <w:bookmarkEnd w:id="9"/>
    </w:p>
    <w:p w14:paraId="1CE2F7E1" w14:textId="5611904C" w:rsidR="00560E5D" w:rsidRDefault="00560E5D" w:rsidP="00560E5D">
      <w:pPr>
        <w:pStyle w:val="Heading3"/>
      </w:pPr>
      <w:r>
        <w:t>2.1.2</w:t>
      </w:r>
      <w:r>
        <w:tab/>
        <w:t>Default spatial relation for PUCCH/SRS</w:t>
      </w:r>
    </w:p>
    <w:p w14:paraId="7AD9A8DE" w14:textId="05587EB3" w:rsidR="00124BDB" w:rsidRPr="00124BDB" w:rsidRDefault="00124BDB" w:rsidP="00124BDB">
      <w:pPr>
        <w:pStyle w:val="BodyText"/>
      </w:pPr>
      <w:r>
        <w:t>In RAN1#98, the following was agreed:</w:t>
      </w:r>
    </w:p>
    <w:p w14:paraId="5DAE11CC" w14:textId="63D2810F" w:rsidR="00124BDB" w:rsidRDefault="00124BDB" w:rsidP="00124BDB">
      <w:pPr>
        <w:pStyle w:val="BodyText"/>
      </w:pPr>
      <w:r>
        <w:rPr>
          <w:noProof/>
        </w:rPr>
        <mc:AlternateContent>
          <mc:Choice Requires="wps">
            <w:drawing>
              <wp:inline distT="0" distB="0" distL="0" distR="0" wp14:anchorId="7987D28A" wp14:editId="66C2EFD0">
                <wp:extent cx="6096000" cy="1752600"/>
                <wp:effectExtent l="0" t="0" r="19050" b="20955"/>
                <wp:docPr id="2" name="Text Box 2"/>
                <wp:cNvGraphicFramePr/>
                <a:graphic xmlns:a="http://schemas.openxmlformats.org/drawingml/2006/main">
                  <a:graphicData uri="http://schemas.microsoft.com/office/word/2010/wordprocessingShape">
                    <wps:wsp>
                      <wps:cNvSpPr txBox="1"/>
                      <wps:spPr>
                        <a:xfrm>
                          <a:off x="0" y="0"/>
                          <a:ext cx="6096000" cy="1752600"/>
                        </a:xfrm>
                        <a:prstGeom prst="rect">
                          <a:avLst/>
                        </a:prstGeom>
                        <a:solidFill>
                          <a:schemeClr val="lt1"/>
                        </a:solidFill>
                        <a:ln w="6350">
                          <a:solidFill>
                            <a:prstClr val="black"/>
                          </a:solidFill>
                        </a:ln>
                      </wps:spPr>
                      <wps:txbx>
                        <w:txbxContent>
                          <w:p w14:paraId="718A24FE" w14:textId="77777777" w:rsidR="00384AC2" w:rsidRPr="00231C9B" w:rsidRDefault="00384AC2" w:rsidP="00124BDB">
                            <w:pPr>
                              <w:pStyle w:val="LGTdoc"/>
                              <w:spacing w:afterLines="0" w:line="240" w:lineRule="auto"/>
                              <w:contextualSpacing/>
                              <w:rPr>
                                <w:b/>
                                <w:szCs w:val="22"/>
                                <w:highlight w:val="green"/>
                                <w:lang w:val="en-US"/>
                              </w:rPr>
                            </w:pPr>
                            <w:r w:rsidRPr="00231C9B">
                              <w:rPr>
                                <w:b/>
                                <w:szCs w:val="22"/>
                                <w:highlight w:val="green"/>
                                <w:lang w:val="en-US"/>
                              </w:rPr>
                              <w:t xml:space="preserve">Agreement </w:t>
                            </w:r>
                          </w:p>
                          <w:p w14:paraId="5BBA11BE" w14:textId="77777777" w:rsidR="00384AC2" w:rsidRPr="00231C9B" w:rsidRDefault="00384AC2" w:rsidP="00124BDB">
                            <w:pPr>
                              <w:pStyle w:val="LGTdoc"/>
                              <w:spacing w:afterLines="0" w:line="240" w:lineRule="auto"/>
                              <w:contextualSpacing/>
                              <w:rPr>
                                <w:bCs/>
                                <w:szCs w:val="22"/>
                                <w:lang w:val="en-US"/>
                              </w:rPr>
                            </w:pPr>
                            <w:r w:rsidRPr="00231C9B">
                              <w:rPr>
                                <w:bCs/>
                                <w:szCs w:val="22"/>
                                <w:lang w:val="en-US"/>
                              </w:rPr>
                              <w:t>At least for UEs supporting beam correspondence, if spatial relation info for dedicated-PUCCH/SRS, except for SRS with usage = '</w:t>
                            </w:r>
                            <w:proofErr w:type="spellStart"/>
                            <w:r w:rsidRPr="00231C9B">
                              <w:rPr>
                                <w:bCs/>
                                <w:szCs w:val="22"/>
                                <w:lang w:val="en-US"/>
                              </w:rPr>
                              <w:t>BeamManagement</w:t>
                            </w:r>
                            <w:proofErr w:type="spellEnd"/>
                            <w:r w:rsidRPr="00231C9B">
                              <w:rPr>
                                <w:bCs/>
                                <w:szCs w:val="22"/>
                                <w:lang w:val="en-US"/>
                              </w:rPr>
                              <w:t>', is not configured in FR2, the applied default spatial relation for the dedicated-PUCCH/SRS is down-selected from the followings in RAN1#98bis</w:t>
                            </w:r>
                          </w:p>
                          <w:p w14:paraId="0C478E67"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Alt.1: default TCI state or QCL assumption of PDSCH (e.g. the most recent slot and the lowest CORESET ID)</w:t>
                            </w:r>
                          </w:p>
                          <w:p w14:paraId="302EB9DE"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Alt.2: one of an active TCI state of CORESET</w:t>
                            </w:r>
                          </w:p>
                          <w:p w14:paraId="0B9D592F" w14:textId="77777777" w:rsidR="00384AC2" w:rsidRPr="00231C9B" w:rsidRDefault="00384AC2" w:rsidP="00124BDB">
                            <w:pPr>
                              <w:pStyle w:val="LGTdoc"/>
                              <w:numPr>
                                <w:ilvl w:val="1"/>
                                <w:numId w:val="23"/>
                              </w:numPr>
                              <w:spacing w:afterLines="0" w:after="0" w:line="240" w:lineRule="auto"/>
                              <w:contextualSpacing/>
                              <w:rPr>
                                <w:bCs/>
                                <w:szCs w:val="22"/>
                                <w:lang w:val="en-US"/>
                              </w:rPr>
                            </w:pPr>
                            <w:r w:rsidRPr="00231C9B">
                              <w:rPr>
                                <w:bCs/>
                                <w:szCs w:val="22"/>
                                <w:lang w:val="en-US"/>
                              </w:rPr>
                              <w:t>FFS: details of which TCI state</w:t>
                            </w:r>
                          </w:p>
                          <w:p w14:paraId="2E732A41"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Alt.3: TCI state of scheduling PDCCH for A-SRS/PUCCH, and default TCI state or QCL assumption of PDSCH for other than A-SRS/PUCCH</w:t>
                            </w:r>
                          </w:p>
                          <w:p w14:paraId="1328D2B6"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Alt.4: CORESET#0 QCL assumption</w:t>
                            </w:r>
                          </w:p>
                          <w:p w14:paraId="20285474"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Alt.5: pathloss reference RS</w:t>
                            </w:r>
                          </w:p>
                          <w:p w14:paraId="463CB2CB" w14:textId="77777777" w:rsidR="00384AC2" w:rsidRPr="00231C9B" w:rsidRDefault="00384AC2" w:rsidP="00124BDB">
                            <w:pPr>
                              <w:pStyle w:val="LGTdoc"/>
                              <w:numPr>
                                <w:ilvl w:val="1"/>
                                <w:numId w:val="23"/>
                              </w:numPr>
                              <w:spacing w:afterLines="0" w:after="0" w:line="240" w:lineRule="auto"/>
                              <w:contextualSpacing/>
                              <w:rPr>
                                <w:bCs/>
                                <w:szCs w:val="22"/>
                                <w:lang w:val="en-US"/>
                              </w:rPr>
                            </w:pPr>
                            <w:r w:rsidRPr="00231C9B">
                              <w:rPr>
                                <w:bCs/>
                                <w:szCs w:val="22"/>
                                <w:lang w:val="en-US"/>
                              </w:rPr>
                              <w:t>FFS: details of which pathloss reference RS</w:t>
                            </w:r>
                          </w:p>
                          <w:p w14:paraId="18B55E68" w14:textId="09557350" w:rsidR="00384AC2" w:rsidRPr="00124BD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FFS: whether to apply the above for UEs not supporting beam correspondence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87D28A" id="Text Box 2" o:spid="_x0000_s1027" type="#_x0000_t202" style="width:480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" fillcolor="white [3201]" strokeweight=".5pt">
                <v:textbox style="mso-fit-shape-to-text:t">
                  <w:txbxContent>
                    <w:p w14:paraId="718A24FE" w14:textId="77777777" w:rsidR="00384AC2" w:rsidRPr="00231C9B" w:rsidRDefault="00384AC2" w:rsidP="00124BDB">
                      <w:pPr>
                        <w:pStyle w:val="LGTdoc"/>
                        <w:spacing w:afterLines="0" w:line="240" w:lineRule="auto"/>
                        <w:contextualSpacing/>
                        <w:rPr>
                          <w:b/>
                          <w:szCs w:val="22"/>
                          <w:highlight w:val="green"/>
                          <w:lang w:val="en-US"/>
                        </w:rPr>
                      </w:pPr>
                      <w:r w:rsidRPr="00231C9B">
                        <w:rPr>
                          <w:b/>
                          <w:szCs w:val="22"/>
                          <w:highlight w:val="green"/>
                          <w:lang w:val="en-US"/>
                        </w:rPr>
                        <w:t xml:space="preserve">Agreement </w:t>
                      </w:r>
                    </w:p>
                    <w:p w14:paraId="5BBA11BE" w14:textId="77777777" w:rsidR="00384AC2" w:rsidRPr="00231C9B" w:rsidRDefault="00384AC2" w:rsidP="00124BDB">
                      <w:pPr>
                        <w:pStyle w:val="LGTdoc"/>
                        <w:spacing w:afterLines="0" w:line="240" w:lineRule="auto"/>
                        <w:contextualSpacing/>
                        <w:rPr>
                          <w:bCs/>
                          <w:szCs w:val="22"/>
                          <w:lang w:val="en-US"/>
                        </w:rPr>
                      </w:pPr>
                      <w:r w:rsidRPr="00231C9B">
                        <w:rPr>
                          <w:bCs/>
                          <w:szCs w:val="22"/>
                          <w:lang w:val="en-US"/>
                        </w:rPr>
                        <w:t>At least for UEs supporting beam correspondence, if spatial relation info for dedicated-PUCCH/SRS, except for SRS with usage = '</w:t>
                      </w:r>
                      <w:proofErr w:type="spellStart"/>
                      <w:r w:rsidRPr="00231C9B">
                        <w:rPr>
                          <w:bCs/>
                          <w:szCs w:val="22"/>
                          <w:lang w:val="en-US"/>
                        </w:rPr>
                        <w:t>BeamManagement</w:t>
                      </w:r>
                      <w:proofErr w:type="spellEnd"/>
                      <w:r w:rsidRPr="00231C9B">
                        <w:rPr>
                          <w:bCs/>
                          <w:szCs w:val="22"/>
                          <w:lang w:val="en-US"/>
                        </w:rPr>
                        <w:t>', is not configured in FR2, the applied default spatial relation for the dedicated-PUCCH/SRS is down-selected from the followings in RAN1#98bis</w:t>
                      </w:r>
                    </w:p>
                    <w:p w14:paraId="0C478E67"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Alt.1: default TCI state or QCL assumption of PDSCH (e.g. the most recent slot and the lowest CORESET ID)</w:t>
                      </w:r>
                    </w:p>
                    <w:p w14:paraId="302EB9DE"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Alt.2: one of an active TCI state of CORESET</w:t>
                      </w:r>
                    </w:p>
                    <w:p w14:paraId="0B9D592F" w14:textId="77777777" w:rsidR="00384AC2" w:rsidRPr="00231C9B" w:rsidRDefault="00384AC2" w:rsidP="00124BDB">
                      <w:pPr>
                        <w:pStyle w:val="LGTdoc"/>
                        <w:numPr>
                          <w:ilvl w:val="1"/>
                          <w:numId w:val="23"/>
                        </w:numPr>
                        <w:spacing w:afterLines="0" w:after="0" w:line="240" w:lineRule="auto"/>
                        <w:contextualSpacing/>
                        <w:rPr>
                          <w:bCs/>
                          <w:szCs w:val="22"/>
                          <w:lang w:val="en-US"/>
                        </w:rPr>
                      </w:pPr>
                      <w:r w:rsidRPr="00231C9B">
                        <w:rPr>
                          <w:bCs/>
                          <w:szCs w:val="22"/>
                          <w:lang w:val="en-US"/>
                        </w:rPr>
                        <w:t>FFS: details of which TCI state</w:t>
                      </w:r>
                    </w:p>
                    <w:p w14:paraId="2E732A41"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Alt.3: TCI state of scheduling PDCCH for A-SRS/PUCCH, and default TCI state or QCL assumption of PDSCH for other than A-SRS/PUCCH</w:t>
                      </w:r>
                    </w:p>
                    <w:p w14:paraId="1328D2B6"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Alt.4: CORESET#0 QCL assumption</w:t>
                      </w:r>
                    </w:p>
                    <w:p w14:paraId="20285474" w14:textId="77777777" w:rsidR="00384AC2" w:rsidRPr="00231C9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Alt.5: pathloss reference RS</w:t>
                      </w:r>
                    </w:p>
                    <w:p w14:paraId="463CB2CB" w14:textId="77777777" w:rsidR="00384AC2" w:rsidRPr="00231C9B" w:rsidRDefault="00384AC2" w:rsidP="00124BDB">
                      <w:pPr>
                        <w:pStyle w:val="LGTdoc"/>
                        <w:numPr>
                          <w:ilvl w:val="1"/>
                          <w:numId w:val="23"/>
                        </w:numPr>
                        <w:spacing w:afterLines="0" w:after="0" w:line="240" w:lineRule="auto"/>
                        <w:contextualSpacing/>
                        <w:rPr>
                          <w:bCs/>
                          <w:szCs w:val="22"/>
                          <w:lang w:val="en-US"/>
                        </w:rPr>
                      </w:pPr>
                      <w:r w:rsidRPr="00231C9B">
                        <w:rPr>
                          <w:bCs/>
                          <w:szCs w:val="22"/>
                          <w:lang w:val="en-US"/>
                        </w:rPr>
                        <w:t>FFS: details of which pathloss reference RS</w:t>
                      </w:r>
                    </w:p>
                    <w:p w14:paraId="18B55E68" w14:textId="09557350" w:rsidR="00384AC2" w:rsidRPr="00124BDB" w:rsidRDefault="00384AC2" w:rsidP="00124BDB">
                      <w:pPr>
                        <w:pStyle w:val="LGTdoc"/>
                        <w:numPr>
                          <w:ilvl w:val="0"/>
                          <w:numId w:val="23"/>
                        </w:numPr>
                        <w:spacing w:afterLines="0" w:after="0" w:line="240" w:lineRule="auto"/>
                        <w:contextualSpacing/>
                        <w:rPr>
                          <w:bCs/>
                          <w:szCs w:val="22"/>
                          <w:lang w:val="en-US"/>
                        </w:rPr>
                      </w:pPr>
                      <w:r w:rsidRPr="00231C9B">
                        <w:rPr>
                          <w:bCs/>
                          <w:szCs w:val="22"/>
                          <w:lang w:val="en-US"/>
                        </w:rPr>
                        <w:t>FFS: whether to apply the above for UEs not supporting beam correspondence</w:t>
                      </w:r>
                    </w:p>
                  </w:txbxContent>
                </v:textbox>
                <w10:anchorlock/>
              </v:shape>
            </w:pict>
          </mc:Fallback>
        </mc:AlternateContent>
      </w:r>
    </w:p>
    <w:p w14:paraId="1AC7B83D" w14:textId="4D771856" w:rsidR="00124BDB" w:rsidRDefault="00634397" w:rsidP="00124BDB">
      <w:pPr>
        <w:pStyle w:val="BodyText"/>
        <w:rPr>
          <w:i/>
        </w:rPr>
      </w:pPr>
      <w:r>
        <w:t>The motivation for the above agreement is to streamline single-beam operation</w:t>
      </w:r>
      <w:r w:rsidR="009D483E">
        <w:t>: to reduce signalling</w:t>
      </w:r>
      <w:r>
        <w:t>. So far,</w:t>
      </w:r>
      <w:r w:rsidR="00DB4937">
        <w:t xml:space="preserve"> an optimized single-beam solution </w:t>
      </w:r>
      <w:r w:rsidR="008043A6">
        <w:t>h</w:t>
      </w:r>
      <w:r w:rsidR="00DB4937">
        <w:t xml:space="preserve">as been introduced for PDCCH/PDSCH: it is possible to let PDSCH follow PDCCH by not configuring </w:t>
      </w:r>
      <w:proofErr w:type="spellStart"/>
      <w:r w:rsidR="00DB4937" w:rsidRPr="00DB4937">
        <w:rPr>
          <w:i/>
        </w:rPr>
        <w:t>tci-PresentInDci</w:t>
      </w:r>
      <w:proofErr w:type="spellEnd"/>
      <w:r w:rsidR="00DB4937">
        <w:rPr>
          <w:i/>
        </w:rPr>
        <w:t xml:space="preserve">. </w:t>
      </w:r>
    </w:p>
    <w:p w14:paraId="5BE9788F" w14:textId="0F9FF75D" w:rsidR="006A1E42" w:rsidRDefault="006A1E42" w:rsidP="00124BDB">
      <w:pPr>
        <w:pStyle w:val="BodyText"/>
      </w:pPr>
      <w:r>
        <w:t>The</w:t>
      </w:r>
      <w:r w:rsidR="009F20CC">
        <w:t xml:space="preserve"> most important requirement of a default spatial relation is that it must be unambiguous: the NW must know exactly what spatial relation the UE will apply. All the alternatives above are unambiguous (for alt 2, it is </w:t>
      </w:r>
      <w:r w:rsidR="008215A3">
        <w:t xml:space="preserve">of course </w:t>
      </w:r>
      <w:r w:rsidR="009F20CC">
        <w:t>assumed that the TCI state is appropriately defined).</w:t>
      </w:r>
    </w:p>
    <w:p w14:paraId="1E2FD98E" w14:textId="280090EE" w:rsidR="009F20CC" w:rsidRDefault="009F20CC" w:rsidP="00124BDB">
      <w:pPr>
        <w:pStyle w:val="BodyText"/>
      </w:pPr>
      <w:r>
        <w:t xml:space="preserve">The next aspect to consider is to balance simplicity, signalling load and performance, a very common issue in the design of any technical solution. </w:t>
      </w:r>
      <w:proofErr w:type="gramStart"/>
      <w:r>
        <w:t>Assuming that</w:t>
      </w:r>
      <w:proofErr w:type="gramEnd"/>
      <w:r>
        <w:t xml:space="preserve"> the NW determines an optimal RS to be used</w:t>
      </w:r>
      <w:r w:rsidR="000D6427">
        <w:t xml:space="preserve"> for another purpose</w:t>
      </w:r>
      <w:r>
        <w:t xml:space="preserve"> </w:t>
      </w:r>
      <w:r w:rsidR="000D6427">
        <w:t>(</w:t>
      </w:r>
      <w:r>
        <w:t>in a TCI state for alt 1-4</w:t>
      </w:r>
      <w:r w:rsidR="000D6427">
        <w:t>,</w:t>
      </w:r>
      <w:r>
        <w:t xml:space="preserve"> for UL power control </w:t>
      </w:r>
      <w:r w:rsidR="000D6427">
        <w:t xml:space="preserve">for </w:t>
      </w:r>
      <w:r>
        <w:t xml:space="preserve">alt 5), the underlying idea is that the same RS would be used also to derive a spatial relation. </w:t>
      </w:r>
    </w:p>
    <w:p w14:paraId="53E28CD7" w14:textId="1A9F8899" w:rsidR="00763A60" w:rsidRDefault="009F20CC" w:rsidP="00124BDB">
      <w:pPr>
        <w:pStyle w:val="BodyText"/>
      </w:pPr>
      <w:r>
        <w:lastRenderedPageBreak/>
        <w:t xml:space="preserve">Comparing the </w:t>
      </w:r>
      <w:r w:rsidR="00763A60">
        <w:t>5 alternatives, it is clearly so that we will always need to signal a TCI state for DL reception. The minimum signalling option would be that we derive the spatial relation from that TCI state,</w:t>
      </w:r>
      <w:r>
        <w:t xml:space="preserve"> </w:t>
      </w:r>
      <w:r w:rsidR="00763A60">
        <w:t>as suggested in alt 1-4. In atl5, we would always have to signal the pathloss reference RS: thus</w:t>
      </w:r>
      <w:r w:rsidR="00170E9B">
        <w:t>,</w:t>
      </w:r>
      <w:r w:rsidR="00763A60">
        <w:t xml:space="preserve"> alt5 has higher </w:t>
      </w:r>
      <w:r w:rsidR="00170E9B">
        <w:t>signalling</w:t>
      </w:r>
      <w:r w:rsidR="00763A60">
        <w:t xml:space="preserve"> overhead:</w:t>
      </w:r>
    </w:p>
    <w:p w14:paraId="3ED91CFF" w14:textId="40E39DEA" w:rsidR="00763A60" w:rsidRPr="00CE0424" w:rsidRDefault="00763A60" w:rsidP="00763A60">
      <w:pPr>
        <w:pStyle w:val="Observation"/>
      </w:pPr>
      <w:bookmarkStart w:id="10" w:name="_Toc21098137"/>
      <w:r>
        <w:t>Deriving the spatial relation from the pathloss reference RS would require that the pathloss reference RS is signalled to the UE.</w:t>
      </w:r>
      <w:bookmarkEnd w:id="10"/>
    </w:p>
    <w:p w14:paraId="729AF502" w14:textId="6063CA94" w:rsidR="00763A60" w:rsidRDefault="00763A60" w:rsidP="00124BDB">
      <w:pPr>
        <w:pStyle w:val="BodyText"/>
      </w:pPr>
      <w:r>
        <w:t xml:space="preserve">Of course, it would be possible to derive the pathloss reference RS from another RS, e.g. signalled in a TCI state, to reduce the </w:t>
      </w:r>
      <w:r w:rsidR="00170E9B">
        <w:t>signalling</w:t>
      </w:r>
      <w:r>
        <w:t>, but that would make alt 5 identical to alt 1-4.</w:t>
      </w:r>
      <w:r w:rsidR="000D6427">
        <w:t xml:space="preserve"> We thus rule out alt 5.</w:t>
      </w:r>
    </w:p>
    <w:p w14:paraId="74D008EA" w14:textId="67C38C43" w:rsidR="009F20CC" w:rsidRDefault="00763A60" w:rsidP="00124BDB">
      <w:pPr>
        <w:pStyle w:val="BodyText"/>
      </w:pPr>
      <w:r>
        <w:t>Regarding accuracy, we note that the NW may choose to configure and use different CORESETs. For example, if the NW chooses to configure and use CORESET#1, the RS in a TCI state activated for CORESET#1 would most probably be suitable to use also as a spatial relation.</w:t>
      </w:r>
      <w:r w:rsidR="00774AA9">
        <w:t xml:space="preserve"> Hence, from a performance point of view, it does not make sense to always use the RS corresponding to the QCL assumption for CORESET#0</w:t>
      </w:r>
      <w:r>
        <w:t xml:space="preserve"> </w:t>
      </w:r>
      <w:r w:rsidR="00774AA9">
        <w:t>as a default spatial relation: most probably other TCI states are sometimes better:</w:t>
      </w:r>
    </w:p>
    <w:p w14:paraId="0E83B73C" w14:textId="4DCAA3BA" w:rsidR="00774AA9" w:rsidRPr="00CE0424" w:rsidRDefault="00774AA9" w:rsidP="00774AA9">
      <w:pPr>
        <w:pStyle w:val="Observation"/>
      </w:pPr>
      <w:bookmarkStart w:id="11" w:name="_Toc21098138"/>
      <w:r>
        <w:t>Basing the default spatial relation on the QCL assumption of CORESET#0 would only seem appropriate when the NW uses CORESET#0 for scheduling. When data is scheduled using other CORESETs, spatial relation based on the QCL assumption of those CORESETs would seem more appropriate.</w:t>
      </w:r>
      <w:bookmarkEnd w:id="11"/>
    </w:p>
    <w:p w14:paraId="53E8CF17" w14:textId="281116AF" w:rsidR="00774AA9" w:rsidRDefault="002664F1" w:rsidP="00124BDB">
      <w:pPr>
        <w:pStyle w:val="BodyText"/>
      </w:pPr>
      <w:r>
        <w:t>We thus rule out alt 4.</w:t>
      </w:r>
    </w:p>
    <w:p w14:paraId="775253A4" w14:textId="3E6DC6C8" w:rsidR="005D64ED" w:rsidRDefault="00EC58F1" w:rsidP="00124BDB">
      <w:pPr>
        <w:pStyle w:val="BodyText"/>
      </w:pPr>
      <w:r>
        <w:t xml:space="preserve">Alt 1 provides a simple method to derive the spatial relation </w:t>
      </w:r>
      <w:r w:rsidR="005A10A6">
        <w:t xml:space="preserve">that at least to some extent follows a selected beam. It extends the use of the default PDSCH QCL assumption, which is used when the UE is scheduled with a delay shorter than the UE capability </w:t>
      </w:r>
      <w:proofErr w:type="spellStart"/>
      <w:r w:rsidR="005A10A6">
        <w:rPr>
          <w:i/>
        </w:rPr>
        <w:t>timeForQcl</w:t>
      </w:r>
      <w:proofErr w:type="spellEnd"/>
      <w:r w:rsidR="005A10A6">
        <w:rPr>
          <w:i/>
        </w:rPr>
        <w:t xml:space="preserve">. </w:t>
      </w:r>
      <w:r w:rsidR="005A10A6">
        <w:t xml:space="preserve">Alt 3 extends alt 1 by introducing another behaviour for A-SRS and PUCCH. </w:t>
      </w:r>
      <w:r w:rsidR="005D64ED">
        <w:t xml:space="preserve">As the TCI state of the scheduling PDCCH is probably well-tuned, using the corresponding spatial relation probably provides quite good performance. </w:t>
      </w:r>
      <w:r w:rsidR="00C52B60">
        <w:t xml:space="preserve">However, in some cases </w:t>
      </w:r>
      <w:proofErr w:type="gramStart"/>
      <w:r w:rsidR="00C52B60">
        <w:t>it would seem that alt</w:t>
      </w:r>
      <w:proofErr w:type="gramEnd"/>
      <w:r w:rsidR="00C52B60">
        <w:t xml:space="preserve"> 3 would lead to a ‘flipping’ of Rx beams in the base station, i.e., that different channels from the same UE would be received with different Rx beams. This would complicate gNB design. </w:t>
      </w:r>
    </w:p>
    <w:p w14:paraId="644A088C" w14:textId="2815B2D6" w:rsidR="005A10A6" w:rsidRDefault="000D6427" w:rsidP="00124BDB">
      <w:pPr>
        <w:pStyle w:val="BodyText"/>
      </w:pPr>
      <w:r>
        <w:t>Also</w:t>
      </w:r>
      <w:r w:rsidR="005A10A6">
        <w:t xml:space="preserve">, scheduled transmissions in FR2 are accompanied by various restrictions on delay, to enable the UE to decode the PDCCH and adjust its </w:t>
      </w:r>
      <w:proofErr w:type="spellStart"/>
      <w:r w:rsidR="005A10A6">
        <w:t>analog</w:t>
      </w:r>
      <w:proofErr w:type="spellEnd"/>
      <w:r w:rsidR="005A10A6">
        <w:t xml:space="preserve"> beam. There are already several UE capabilities introduced to ensure that the UE is capable of this. However, it is unclear to us if the A-SRS transmissions and PUCCH transmissions would need additional timing restrictions in case the UE was required to follow the TCI state of certain PDCCH transmissions:</w:t>
      </w:r>
    </w:p>
    <w:p w14:paraId="5A3CAD56" w14:textId="3A5658D1" w:rsidR="005A10A6" w:rsidRPr="00CE0424" w:rsidRDefault="005D64ED" w:rsidP="005A10A6">
      <w:pPr>
        <w:pStyle w:val="Observation"/>
      </w:pPr>
      <w:bookmarkStart w:id="12" w:name="_Toc21098139"/>
      <w:r>
        <w:t>Additional timing restrictions may be required if the spatial relation of an A-SRS/PUCCH is based on the TCI state of the scheduling PDCCH.</w:t>
      </w:r>
      <w:bookmarkEnd w:id="12"/>
    </w:p>
    <w:p w14:paraId="1FC547F7" w14:textId="2DBEE9A4" w:rsidR="00C52B60" w:rsidRDefault="00C52B60" w:rsidP="00124BDB">
      <w:pPr>
        <w:pStyle w:val="BodyText"/>
      </w:pPr>
      <w:r>
        <w:t>Timing restrictions are already a major pain-point in NR design: the combination of an UL/DL pattern and the timing restrictions related to CSI calculation and UL reporting</w:t>
      </w:r>
      <w:r w:rsidR="000D6427">
        <w:t xml:space="preserve"> complicates scheduler design</w:t>
      </w:r>
      <w:r>
        <w:t xml:space="preserve">. Introducing even more timing restrictions </w:t>
      </w:r>
      <w:r w:rsidR="009127E5">
        <w:t>would complicate design even further.</w:t>
      </w:r>
      <w:r>
        <w:t xml:space="preserve"> </w:t>
      </w:r>
      <w:r w:rsidR="001339A3">
        <w:t>We see this as a major disadvantage of alt 3.</w:t>
      </w:r>
    </w:p>
    <w:p w14:paraId="3274C14B" w14:textId="141E1FF1" w:rsidR="00C52B60" w:rsidRDefault="002664F1" w:rsidP="00124BDB">
      <w:pPr>
        <w:pStyle w:val="BodyText"/>
      </w:pPr>
      <w:r>
        <w:t xml:space="preserve">Comparing alt 1-3, </w:t>
      </w:r>
      <w:r w:rsidR="005D64ED">
        <w:t>alt</w:t>
      </w:r>
      <w:r>
        <w:t xml:space="preserve"> 2 as it is formulated </w:t>
      </w:r>
      <w:r w:rsidR="00EC58F1">
        <w:t>includes both alt 1 and 3. However, we interpret alt 2 as</w:t>
      </w:r>
      <w:r w:rsidR="005D64ED">
        <w:t xml:space="preserve"> </w:t>
      </w:r>
      <w:r w:rsidR="00C52B60" w:rsidRPr="001339A3">
        <w:rPr>
          <w:i/>
        </w:rPr>
        <w:t>some other</w:t>
      </w:r>
      <w:r w:rsidR="00C52B60">
        <w:t xml:space="preserve"> </w:t>
      </w:r>
      <w:r w:rsidR="00C52B60" w:rsidRPr="001339A3">
        <w:rPr>
          <w:i/>
        </w:rPr>
        <w:t>TCI state</w:t>
      </w:r>
      <w:r w:rsidR="00C52B60">
        <w:t xml:space="preserve"> than proposed under alt 1 and alt 3. We are open to consider other options, but so </w:t>
      </w:r>
      <w:r w:rsidR="001339A3">
        <w:t>far,</w:t>
      </w:r>
      <w:r w:rsidR="00C52B60">
        <w:t xml:space="preserve"> we have failed to see what TCI state this would be.</w:t>
      </w:r>
    </w:p>
    <w:p w14:paraId="31BB8292" w14:textId="77777777" w:rsidR="009127E5" w:rsidRDefault="00C52B60" w:rsidP="00124BDB">
      <w:pPr>
        <w:pStyle w:val="BodyText"/>
      </w:pPr>
      <w:r>
        <w:t>Based on the above discussion,</w:t>
      </w:r>
      <w:r w:rsidR="009127E5">
        <w:t xml:space="preserve"> we propose</w:t>
      </w:r>
    </w:p>
    <w:p w14:paraId="6547B77B" w14:textId="147533C5" w:rsidR="001339A3" w:rsidRDefault="009127E5" w:rsidP="001339A3">
      <w:pPr>
        <w:pStyle w:val="Proposal"/>
      </w:pPr>
      <w:bookmarkStart w:id="13" w:name="_Toc21098165"/>
      <w:r>
        <w:t>I</w:t>
      </w:r>
      <w:r w:rsidRPr="009127E5">
        <w:t>f spatial relation info for dedicated-PUCCH/SRS, except for SRS with usage = '</w:t>
      </w:r>
      <w:proofErr w:type="spellStart"/>
      <w:r w:rsidRPr="009127E5">
        <w:t>BeamManagement</w:t>
      </w:r>
      <w:proofErr w:type="spellEnd"/>
      <w:r w:rsidRPr="009127E5">
        <w:t xml:space="preserve">', is not configured in FR2, </w:t>
      </w:r>
      <w:r w:rsidRPr="00A04F49">
        <w:t xml:space="preserve">the </w:t>
      </w:r>
      <w:r>
        <w:t>UE applies the spatial relation corresponding to the RS in the default TCI state for PDSCH, as defined in 38.214, section 5.1.5</w:t>
      </w:r>
      <w:r w:rsidR="009F2946">
        <w:t xml:space="preserve">: </w:t>
      </w:r>
      <w:r w:rsidR="00052583">
        <w:t>t</w:t>
      </w:r>
      <w:r w:rsidR="00052583" w:rsidRPr="00052583">
        <w:t>he lowest CORESET-ID in the latest slot in which one or more CORESETs within the active BWP of the serving cell are monitored by the UE</w:t>
      </w:r>
      <w:r w:rsidR="00052583">
        <w:t>.</w:t>
      </w:r>
      <w:bookmarkEnd w:id="13"/>
      <w:r w:rsidR="001339A3">
        <w:t xml:space="preserve"> </w:t>
      </w:r>
    </w:p>
    <w:p w14:paraId="6BC97528" w14:textId="3E3B0E6B" w:rsidR="00FB5145" w:rsidRPr="00A04F49" w:rsidRDefault="00FB5145" w:rsidP="00FB5145">
      <w:pPr>
        <w:pStyle w:val="BodyText"/>
      </w:pPr>
      <w:r>
        <w:t>In the agreement</w:t>
      </w:r>
      <w:r w:rsidR="00052583">
        <w:t xml:space="preserve"> from RAN1#98</w:t>
      </w:r>
      <w:r>
        <w:t xml:space="preserve">, there was also an FFS on the applicability for UEs not supporting beam correspondence. Here we note that the specification does not provide any restrictions on the configuration of spatial relations: this is left to NW implementation. </w:t>
      </w:r>
      <w:r w:rsidR="001339A3">
        <w:t xml:space="preserve">The NW is free to configure a DL RS in a spatial relation to a UE that does not support beam correspondence. </w:t>
      </w:r>
      <w:r>
        <w:t>We propose that the same paradigm is applied for the default spatial relation:</w:t>
      </w:r>
    </w:p>
    <w:p w14:paraId="317F305A" w14:textId="0DF000C2" w:rsidR="00FB5145" w:rsidRDefault="00FB5145" w:rsidP="00FB5145">
      <w:pPr>
        <w:pStyle w:val="Proposal"/>
      </w:pPr>
      <w:bookmarkStart w:id="14" w:name="_Toc21098166"/>
      <w:r>
        <w:t>No restrictions are introduced in the standard on what UEs support the default spatial relation</w:t>
      </w:r>
      <w:r w:rsidRPr="00A04F49">
        <w:t>.</w:t>
      </w:r>
      <w:bookmarkEnd w:id="14"/>
    </w:p>
    <w:p w14:paraId="3E760967" w14:textId="2D8215AA" w:rsidR="00A106E9" w:rsidRPr="00A106E9" w:rsidRDefault="00A106E9" w:rsidP="00124BDB">
      <w:pPr>
        <w:pStyle w:val="BodyText"/>
      </w:pPr>
    </w:p>
    <w:p w14:paraId="19D2499F" w14:textId="324D57C0" w:rsidR="00560E5D" w:rsidRDefault="00560E5D" w:rsidP="00560E5D">
      <w:pPr>
        <w:pStyle w:val="Heading3"/>
      </w:pPr>
      <w:r>
        <w:lastRenderedPageBreak/>
        <w:t>2.1.3</w:t>
      </w:r>
      <w:r>
        <w:tab/>
        <w:t>TCI state update across CCs</w:t>
      </w:r>
    </w:p>
    <w:p w14:paraId="43DEFAA6" w14:textId="76E135BD" w:rsidR="009924B4" w:rsidRDefault="00705F01" w:rsidP="00705F01">
      <w:pPr>
        <w:pStyle w:val="BodyText"/>
      </w:pPr>
      <w:r>
        <w:t>In RAN1</w:t>
      </w:r>
      <w:r w:rsidR="009924B4">
        <w:t>#98, the following was agreed:</w:t>
      </w:r>
    </w:p>
    <w:p w14:paraId="7385BB22" w14:textId="77777777" w:rsidR="009924B4" w:rsidRDefault="009924B4" w:rsidP="009924B4">
      <w:pPr>
        <w:pStyle w:val="BodyText"/>
      </w:pPr>
      <w:r>
        <w:rPr>
          <w:noProof/>
        </w:rPr>
        <mc:AlternateContent>
          <mc:Choice Requires="wps">
            <w:drawing>
              <wp:inline distT="0" distB="0" distL="0" distR="0" wp14:anchorId="6C690079" wp14:editId="13440098">
                <wp:extent cx="6096000" cy="1752600"/>
                <wp:effectExtent l="0" t="0" r="19050" b="20955"/>
                <wp:docPr id="6" name="Text Box 6"/>
                <wp:cNvGraphicFramePr/>
                <a:graphic xmlns:a="http://schemas.openxmlformats.org/drawingml/2006/main">
                  <a:graphicData uri="http://schemas.microsoft.com/office/word/2010/wordprocessingShape">
                    <wps:wsp>
                      <wps:cNvSpPr txBox="1"/>
                      <wps:spPr>
                        <a:xfrm>
                          <a:off x="0" y="0"/>
                          <a:ext cx="6096000" cy="1752600"/>
                        </a:xfrm>
                        <a:prstGeom prst="rect">
                          <a:avLst/>
                        </a:prstGeom>
                        <a:solidFill>
                          <a:schemeClr val="lt1"/>
                        </a:solidFill>
                        <a:ln w="6350">
                          <a:solidFill>
                            <a:prstClr val="black"/>
                          </a:solidFill>
                        </a:ln>
                      </wps:spPr>
                      <wps:txbx>
                        <w:txbxContent>
                          <w:p w14:paraId="797E9105" w14:textId="77777777" w:rsidR="00384AC2" w:rsidRPr="004B1E35" w:rsidRDefault="00384AC2" w:rsidP="00763A48">
                            <w:pPr>
                              <w:pStyle w:val="LGTdoc"/>
                              <w:spacing w:afterLines="0" w:line="240" w:lineRule="auto"/>
                              <w:rPr>
                                <w:b/>
                                <w:bCs/>
                                <w:szCs w:val="22"/>
                                <w:highlight w:val="green"/>
                              </w:rPr>
                            </w:pPr>
                            <w:r w:rsidRPr="004B1E35">
                              <w:rPr>
                                <w:b/>
                                <w:bCs/>
                                <w:szCs w:val="22"/>
                                <w:highlight w:val="green"/>
                              </w:rPr>
                              <w:t>Agreement</w:t>
                            </w:r>
                          </w:p>
                          <w:p w14:paraId="078E5C04" w14:textId="77777777" w:rsidR="00384AC2" w:rsidRPr="004B1E35" w:rsidRDefault="00384AC2" w:rsidP="00763A48">
                            <w:pPr>
                              <w:pStyle w:val="LGTdoc"/>
                              <w:spacing w:afterLines="0" w:line="240" w:lineRule="auto"/>
                              <w:rPr>
                                <w:kern w:val="0"/>
                                <w:szCs w:val="22"/>
                              </w:rPr>
                            </w:pPr>
                            <w:r w:rsidRPr="004B1E35">
                              <w:rPr>
                                <w:szCs w:val="22"/>
                              </w:rPr>
                              <w:t>For latency/overhead reduction across multiple CCs/BWPs, support single MAC-CE to activate at least the same set of PDSCH TCI state IDs for multiple CCs/BWPs</w:t>
                            </w:r>
                          </w:p>
                          <w:p w14:paraId="7B6CA7D8" w14:textId="77777777" w:rsidR="00384AC2" w:rsidRPr="004B1E35" w:rsidRDefault="00384AC2" w:rsidP="00763A48">
                            <w:pPr>
                              <w:pStyle w:val="LGTdoc"/>
                              <w:widowControl/>
                              <w:numPr>
                                <w:ilvl w:val="0"/>
                                <w:numId w:val="23"/>
                              </w:numPr>
                              <w:adjustRightInd/>
                              <w:spacing w:afterLines="0" w:after="0" w:line="240" w:lineRule="auto"/>
                              <w:contextualSpacing/>
                              <w:rPr>
                                <w:szCs w:val="22"/>
                              </w:rPr>
                            </w:pPr>
                            <w:r w:rsidRPr="004B1E35">
                              <w:rPr>
                                <w:szCs w:val="22"/>
                              </w:rPr>
                              <w:t>Example 1: Reuse Rel-15 MAC-CE to activate same set of TCI state IDs for all active BWPs in same band or cell group(s) on FR2</w:t>
                            </w:r>
                          </w:p>
                          <w:p w14:paraId="126FF19F" w14:textId="77777777" w:rsidR="00384AC2" w:rsidRPr="004B1E35" w:rsidRDefault="00384AC2" w:rsidP="00763A48">
                            <w:pPr>
                              <w:pStyle w:val="LGTdoc"/>
                              <w:widowControl/>
                              <w:numPr>
                                <w:ilvl w:val="1"/>
                                <w:numId w:val="23"/>
                              </w:numPr>
                              <w:adjustRightInd/>
                              <w:spacing w:afterLines="0" w:after="0" w:line="240" w:lineRule="auto"/>
                              <w:contextualSpacing/>
                              <w:rPr>
                                <w:szCs w:val="22"/>
                                <w:lang w:eastAsia="zh-CN"/>
                              </w:rPr>
                            </w:pPr>
                            <w:r w:rsidRPr="004B1E35">
                              <w:rPr>
                                <w:szCs w:val="22"/>
                                <w:lang w:eastAsia="zh-CN"/>
                              </w:rPr>
                              <w:t>Support of this mode can be indicated by UE capability</w:t>
                            </w:r>
                          </w:p>
                          <w:p w14:paraId="6B9526D1" w14:textId="77777777" w:rsidR="00384AC2" w:rsidRPr="004B1E35" w:rsidRDefault="00384AC2" w:rsidP="00763A48">
                            <w:pPr>
                              <w:pStyle w:val="LGTdoc"/>
                              <w:widowControl/>
                              <w:numPr>
                                <w:ilvl w:val="1"/>
                                <w:numId w:val="23"/>
                              </w:numPr>
                              <w:adjustRightInd/>
                              <w:spacing w:afterLines="0" w:after="0" w:line="240" w:lineRule="auto"/>
                              <w:contextualSpacing/>
                              <w:rPr>
                                <w:szCs w:val="22"/>
                                <w:lang w:eastAsia="zh-CN"/>
                              </w:rPr>
                            </w:pPr>
                            <w:r w:rsidRPr="004B1E35">
                              <w:rPr>
                                <w:szCs w:val="22"/>
                                <w:lang w:eastAsia="zh-CN"/>
                              </w:rPr>
                              <w:t>To operate in this mode, UE may expect the same QCL-</w:t>
                            </w:r>
                            <w:proofErr w:type="spellStart"/>
                            <w:r w:rsidRPr="004B1E35">
                              <w:rPr>
                                <w:szCs w:val="22"/>
                                <w:lang w:eastAsia="zh-CN"/>
                              </w:rPr>
                              <w:t>TypeD</w:t>
                            </w:r>
                            <w:proofErr w:type="spellEnd"/>
                            <w:r w:rsidRPr="004B1E35">
                              <w:rPr>
                                <w:szCs w:val="22"/>
                                <w:lang w:eastAsia="zh-CN"/>
                              </w:rPr>
                              <w:t xml:space="preserve"> RS is configured for same TCI state ID for all BWPs in each band or cell group(s)</w:t>
                            </w:r>
                          </w:p>
                          <w:p w14:paraId="53FF19C2" w14:textId="77777777" w:rsidR="00384AC2" w:rsidRPr="004B1E35" w:rsidRDefault="00384AC2" w:rsidP="00763A48">
                            <w:pPr>
                              <w:pStyle w:val="LGTdoc"/>
                              <w:widowControl/>
                              <w:numPr>
                                <w:ilvl w:val="1"/>
                                <w:numId w:val="23"/>
                              </w:numPr>
                              <w:adjustRightInd/>
                              <w:spacing w:afterLines="0" w:after="0" w:line="240" w:lineRule="auto"/>
                              <w:contextualSpacing/>
                              <w:rPr>
                                <w:szCs w:val="22"/>
                                <w:lang w:eastAsia="zh-CN"/>
                              </w:rPr>
                            </w:pPr>
                            <w:r w:rsidRPr="004B1E35">
                              <w:rPr>
                                <w:szCs w:val="22"/>
                                <w:lang w:eastAsia="zh-CN"/>
                              </w:rPr>
                              <w:t>For activation MAC-CE received on any active BWP in a band or cell group</w:t>
                            </w:r>
                            <w:r w:rsidRPr="004B1E35">
                              <w:rPr>
                                <w:szCs w:val="22"/>
                              </w:rPr>
                              <w:t>(s)</w:t>
                            </w:r>
                            <w:r w:rsidRPr="004B1E35">
                              <w:rPr>
                                <w:szCs w:val="22"/>
                                <w:lang w:eastAsia="zh-CN"/>
                              </w:rPr>
                              <w:t>, indicated activated TCI state IDs will be applied to every active BWP in that band or cell group</w:t>
                            </w:r>
                            <w:r w:rsidRPr="004B1E35">
                              <w:rPr>
                                <w:szCs w:val="22"/>
                              </w:rPr>
                              <w:t>(s)</w:t>
                            </w:r>
                          </w:p>
                          <w:p w14:paraId="7C8C0ECD" w14:textId="77777777" w:rsidR="00384AC2" w:rsidRPr="004B1E35" w:rsidRDefault="00384AC2" w:rsidP="00763A48">
                            <w:pPr>
                              <w:pStyle w:val="LGTdoc"/>
                              <w:widowControl/>
                              <w:numPr>
                                <w:ilvl w:val="0"/>
                                <w:numId w:val="23"/>
                              </w:numPr>
                              <w:adjustRightInd/>
                              <w:spacing w:afterLines="0" w:after="0" w:line="240" w:lineRule="auto"/>
                              <w:contextualSpacing/>
                              <w:rPr>
                                <w:szCs w:val="22"/>
                              </w:rPr>
                            </w:pPr>
                            <w:r w:rsidRPr="004B1E35">
                              <w:rPr>
                                <w:szCs w:val="22"/>
                              </w:rPr>
                              <w:t>Example 2: Reuse Rel-15 MAC-CE to activate one set of TCI state IDs (including both QCL Type-A and Type-D RSs) for an active BWP of the CC indicated by the MAC-CE to be applied to all active BWPs in same band</w:t>
                            </w:r>
                            <w:r w:rsidRPr="004B1E35">
                              <w:rPr>
                                <w:szCs w:val="22"/>
                                <w:lang w:eastAsia="zh-CN"/>
                              </w:rPr>
                              <w:t xml:space="preserve"> or cell group(s)</w:t>
                            </w:r>
                            <w:r w:rsidRPr="004B1E35">
                              <w:rPr>
                                <w:szCs w:val="22"/>
                              </w:rPr>
                              <w:t xml:space="preserve"> on FR2</w:t>
                            </w:r>
                          </w:p>
                          <w:p w14:paraId="2420BAD2" w14:textId="77777777" w:rsidR="00384AC2" w:rsidRPr="004B1E35" w:rsidRDefault="00384AC2" w:rsidP="00763A48">
                            <w:pPr>
                              <w:pStyle w:val="LGTdoc"/>
                              <w:widowControl/>
                              <w:numPr>
                                <w:ilvl w:val="1"/>
                                <w:numId w:val="23"/>
                              </w:numPr>
                              <w:adjustRightInd/>
                              <w:spacing w:afterLines="0" w:after="0" w:line="240" w:lineRule="auto"/>
                              <w:contextualSpacing/>
                              <w:rPr>
                                <w:szCs w:val="22"/>
                              </w:rPr>
                            </w:pPr>
                            <w:r w:rsidRPr="004B1E35">
                              <w:rPr>
                                <w:rFonts w:hint="eastAsia"/>
                                <w:szCs w:val="22"/>
                              </w:rPr>
                              <w:t xml:space="preserve">Note: </w:t>
                            </w:r>
                            <w:r w:rsidRPr="004B1E35">
                              <w:rPr>
                                <w:szCs w:val="22"/>
                              </w:rPr>
                              <w:t xml:space="preserve">The QCL Type A RS(s) applied to each CC/BWP is that corresponding to the same resource ID(s) indicated by the TCI state IDs </w:t>
                            </w:r>
                          </w:p>
                          <w:p w14:paraId="16ABD6F2" w14:textId="77777777" w:rsidR="00384AC2" w:rsidRPr="004B1E35" w:rsidRDefault="00384AC2" w:rsidP="00763A48">
                            <w:pPr>
                              <w:pStyle w:val="LGTdoc"/>
                              <w:widowControl/>
                              <w:numPr>
                                <w:ilvl w:val="0"/>
                                <w:numId w:val="23"/>
                              </w:numPr>
                              <w:adjustRightInd/>
                              <w:spacing w:afterLines="0" w:after="0" w:line="240" w:lineRule="auto"/>
                              <w:contextualSpacing/>
                              <w:rPr>
                                <w:szCs w:val="22"/>
                                <w:lang w:eastAsia="zh-CN"/>
                              </w:rPr>
                            </w:pPr>
                            <w:r w:rsidRPr="004B1E35">
                              <w:rPr>
                                <w:szCs w:val="22"/>
                              </w:rPr>
                              <w:t>FFS: operation/</w:t>
                            </w:r>
                            <w:proofErr w:type="spellStart"/>
                            <w:r w:rsidRPr="004B1E35">
                              <w:rPr>
                                <w:szCs w:val="22"/>
                              </w:rPr>
                              <w:t>signaling</w:t>
                            </w:r>
                            <w:proofErr w:type="spellEnd"/>
                            <w:r w:rsidRPr="004B1E35">
                              <w:rPr>
                                <w:szCs w:val="22"/>
                              </w:rPr>
                              <w:t xml:space="preserve"> details including the possibility to activate different sets of PDSCH TCI state IDs for multiple CCs/BWPs</w:t>
                            </w:r>
                          </w:p>
                          <w:p w14:paraId="2AB9901D" w14:textId="38C52E74" w:rsidR="00384AC2" w:rsidRPr="00763A48" w:rsidRDefault="00384AC2" w:rsidP="00763A48">
                            <w:pPr>
                              <w:pStyle w:val="LGTdoc"/>
                              <w:widowControl/>
                              <w:numPr>
                                <w:ilvl w:val="0"/>
                                <w:numId w:val="23"/>
                              </w:numPr>
                              <w:adjustRightInd/>
                              <w:spacing w:afterLines="0" w:after="0" w:line="240" w:lineRule="auto"/>
                              <w:contextualSpacing/>
                              <w:rPr>
                                <w:szCs w:val="22"/>
                                <w:lang w:eastAsia="zh-CN"/>
                              </w:rPr>
                            </w:pPr>
                            <w:r w:rsidRPr="004B1E35">
                              <w:rPr>
                                <w:szCs w:val="22"/>
                              </w:rPr>
                              <w:t>Note: QCL type-A comes from the BWP where the TCI state is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C690079" id="Text Box 6" o:spid="_x0000_s1028" type="#_x0000_t202" style="width:480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" fillcolor="white [3201]" strokeweight=".5pt">
                <v:textbox style="mso-fit-shape-to-text:t">
                  <w:txbxContent>
                    <w:p w14:paraId="797E9105" w14:textId="77777777" w:rsidR="00384AC2" w:rsidRPr="004B1E35" w:rsidRDefault="00384AC2" w:rsidP="00763A48">
                      <w:pPr>
                        <w:pStyle w:val="LGTdoc"/>
                        <w:spacing w:afterLines="0" w:line="240" w:lineRule="auto"/>
                        <w:rPr>
                          <w:b/>
                          <w:bCs/>
                          <w:szCs w:val="22"/>
                          <w:highlight w:val="green"/>
                        </w:rPr>
                      </w:pPr>
                      <w:r w:rsidRPr="004B1E35">
                        <w:rPr>
                          <w:b/>
                          <w:bCs/>
                          <w:szCs w:val="22"/>
                          <w:highlight w:val="green"/>
                        </w:rPr>
                        <w:t>Agreement</w:t>
                      </w:r>
                    </w:p>
                    <w:p w14:paraId="078E5C04" w14:textId="77777777" w:rsidR="00384AC2" w:rsidRPr="004B1E35" w:rsidRDefault="00384AC2" w:rsidP="00763A48">
                      <w:pPr>
                        <w:pStyle w:val="LGTdoc"/>
                        <w:spacing w:afterLines="0" w:line="240" w:lineRule="auto"/>
                        <w:rPr>
                          <w:kern w:val="0"/>
                          <w:szCs w:val="22"/>
                        </w:rPr>
                      </w:pPr>
                      <w:r w:rsidRPr="004B1E35">
                        <w:rPr>
                          <w:szCs w:val="22"/>
                        </w:rPr>
                        <w:t>For latency/overhead reduction across multiple CCs/BWPs, support single MAC-CE to activate at least the same set of PDSCH TCI state IDs for multiple CCs/BWPs</w:t>
                      </w:r>
                    </w:p>
                    <w:p w14:paraId="7B6CA7D8" w14:textId="77777777" w:rsidR="00384AC2" w:rsidRPr="004B1E35" w:rsidRDefault="00384AC2" w:rsidP="00763A48">
                      <w:pPr>
                        <w:pStyle w:val="LGTdoc"/>
                        <w:widowControl/>
                        <w:numPr>
                          <w:ilvl w:val="0"/>
                          <w:numId w:val="23"/>
                        </w:numPr>
                        <w:adjustRightInd/>
                        <w:spacing w:afterLines="0" w:after="0" w:line="240" w:lineRule="auto"/>
                        <w:contextualSpacing/>
                        <w:rPr>
                          <w:szCs w:val="22"/>
                        </w:rPr>
                      </w:pPr>
                      <w:r w:rsidRPr="004B1E35">
                        <w:rPr>
                          <w:szCs w:val="22"/>
                        </w:rPr>
                        <w:t>Example 1: Reuse Rel-15 MAC-CE to activate same set of TCI state IDs for all active BWPs in same band or cell group(s) on FR2</w:t>
                      </w:r>
                    </w:p>
                    <w:p w14:paraId="126FF19F" w14:textId="77777777" w:rsidR="00384AC2" w:rsidRPr="004B1E35" w:rsidRDefault="00384AC2" w:rsidP="00763A48">
                      <w:pPr>
                        <w:pStyle w:val="LGTdoc"/>
                        <w:widowControl/>
                        <w:numPr>
                          <w:ilvl w:val="1"/>
                          <w:numId w:val="23"/>
                        </w:numPr>
                        <w:adjustRightInd/>
                        <w:spacing w:afterLines="0" w:after="0" w:line="240" w:lineRule="auto"/>
                        <w:contextualSpacing/>
                        <w:rPr>
                          <w:szCs w:val="22"/>
                          <w:lang w:eastAsia="zh-CN"/>
                        </w:rPr>
                      </w:pPr>
                      <w:r w:rsidRPr="004B1E35">
                        <w:rPr>
                          <w:szCs w:val="22"/>
                          <w:lang w:eastAsia="zh-CN"/>
                        </w:rPr>
                        <w:t>Support of this mode can be indicated by UE capability</w:t>
                      </w:r>
                    </w:p>
                    <w:p w14:paraId="6B9526D1" w14:textId="77777777" w:rsidR="00384AC2" w:rsidRPr="004B1E35" w:rsidRDefault="00384AC2" w:rsidP="00763A48">
                      <w:pPr>
                        <w:pStyle w:val="LGTdoc"/>
                        <w:widowControl/>
                        <w:numPr>
                          <w:ilvl w:val="1"/>
                          <w:numId w:val="23"/>
                        </w:numPr>
                        <w:adjustRightInd/>
                        <w:spacing w:afterLines="0" w:after="0" w:line="240" w:lineRule="auto"/>
                        <w:contextualSpacing/>
                        <w:rPr>
                          <w:szCs w:val="22"/>
                          <w:lang w:eastAsia="zh-CN"/>
                        </w:rPr>
                      </w:pPr>
                      <w:r w:rsidRPr="004B1E35">
                        <w:rPr>
                          <w:szCs w:val="22"/>
                          <w:lang w:eastAsia="zh-CN"/>
                        </w:rPr>
                        <w:t>To operate in this mode, UE may expect the same QCL-</w:t>
                      </w:r>
                      <w:proofErr w:type="spellStart"/>
                      <w:r w:rsidRPr="004B1E35">
                        <w:rPr>
                          <w:szCs w:val="22"/>
                          <w:lang w:eastAsia="zh-CN"/>
                        </w:rPr>
                        <w:t>TypeD</w:t>
                      </w:r>
                      <w:proofErr w:type="spellEnd"/>
                      <w:r w:rsidRPr="004B1E35">
                        <w:rPr>
                          <w:szCs w:val="22"/>
                          <w:lang w:eastAsia="zh-CN"/>
                        </w:rPr>
                        <w:t xml:space="preserve"> RS is configured for same TCI state ID for all BWPs in each band or cell group(s)</w:t>
                      </w:r>
                    </w:p>
                    <w:p w14:paraId="53FF19C2" w14:textId="77777777" w:rsidR="00384AC2" w:rsidRPr="004B1E35" w:rsidRDefault="00384AC2" w:rsidP="00763A48">
                      <w:pPr>
                        <w:pStyle w:val="LGTdoc"/>
                        <w:widowControl/>
                        <w:numPr>
                          <w:ilvl w:val="1"/>
                          <w:numId w:val="23"/>
                        </w:numPr>
                        <w:adjustRightInd/>
                        <w:spacing w:afterLines="0" w:after="0" w:line="240" w:lineRule="auto"/>
                        <w:contextualSpacing/>
                        <w:rPr>
                          <w:szCs w:val="22"/>
                          <w:lang w:eastAsia="zh-CN"/>
                        </w:rPr>
                      </w:pPr>
                      <w:r w:rsidRPr="004B1E35">
                        <w:rPr>
                          <w:szCs w:val="22"/>
                          <w:lang w:eastAsia="zh-CN"/>
                        </w:rPr>
                        <w:t>For activation MAC-CE received on any active BWP in a band or cell group</w:t>
                      </w:r>
                      <w:r w:rsidRPr="004B1E35">
                        <w:rPr>
                          <w:szCs w:val="22"/>
                        </w:rPr>
                        <w:t>(s)</w:t>
                      </w:r>
                      <w:r w:rsidRPr="004B1E35">
                        <w:rPr>
                          <w:szCs w:val="22"/>
                          <w:lang w:eastAsia="zh-CN"/>
                        </w:rPr>
                        <w:t>, indicated activated TCI state IDs will be applied to every active BWP in that band or cell group</w:t>
                      </w:r>
                      <w:r w:rsidRPr="004B1E35">
                        <w:rPr>
                          <w:szCs w:val="22"/>
                        </w:rPr>
                        <w:t>(s)</w:t>
                      </w:r>
                    </w:p>
                    <w:p w14:paraId="7C8C0ECD" w14:textId="77777777" w:rsidR="00384AC2" w:rsidRPr="004B1E35" w:rsidRDefault="00384AC2" w:rsidP="00763A48">
                      <w:pPr>
                        <w:pStyle w:val="LGTdoc"/>
                        <w:widowControl/>
                        <w:numPr>
                          <w:ilvl w:val="0"/>
                          <w:numId w:val="23"/>
                        </w:numPr>
                        <w:adjustRightInd/>
                        <w:spacing w:afterLines="0" w:after="0" w:line="240" w:lineRule="auto"/>
                        <w:contextualSpacing/>
                        <w:rPr>
                          <w:szCs w:val="22"/>
                        </w:rPr>
                      </w:pPr>
                      <w:r w:rsidRPr="004B1E35">
                        <w:rPr>
                          <w:szCs w:val="22"/>
                        </w:rPr>
                        <w:t>Example 2: Reuse Rel-15 MAC-CE to activate one set of TCI state IDs (including both QCL Type-A and Type-D RSs) for an active BWP of the CC indicated by the MAC-CE to be applied to all active BWPs in same band</w:t>
                      </w:r>
                      <w:r w:rsidRPr="004B1E35">
                        <w:rPr>
                          <w:szCs w:val="22"/>
                          <w:lang w:eastAsia="zh-CN"/>
                        </w:rPr>
                        <w:t xml:space="preserve"> or cell group(s)</w:t>
                      </w:r>
                      <w:r w:rsidRPr="004B1E35">
                        <w:rPr>
                          <w:szCs w:val="22"/>
                        </w:rPr>
                        <w:t xml:space="preserve"> on FR2</w:t>
                      </w:r>
                    </w:p>
                    <w:p w14:paraId="2420BAD2" w14:textId="77777777" w:rsidR="00384AC2" w:rsidRPr="004B1E35" w:rsidRDefault="00384AC2" w:rsidP="00763A48">
                      <w:pPr>
                        <w:pStyle w:val="LGTdoc"/>
                        <w:widowControl/>
                        <w:numPr>
                          <w:ilvl w:val="1"/>
                          <w:numId w:val="23"/>
                        </w:numPr>
                        <w:adjustRightInd/>
                        <w:spacing w:afterLines="0" w:after="0" w:line="240" w:lineRule="auto"/>
                        <w:contextualSpacing/>
                        <w:rPr>
                          <w:szCs w:val="22"/>
                        </w:rPr>
                      </w:pPr>
                      <w:r w:rsidRPr="004B1E35">
                        <w:rPr>
                          <w:rFonts w:hint="eastAsia"/>
                          <w:szCs w:val="22"/>
                        </w:rPr>
                        <w:t xml:space="preserve">Note: </w:t>
                      </w:r>
                      <w:r w:rsidRPr="004B1E35">
                        <w:rPr>
                          <w:szCs w:val="22"/>
                        </w:rPr>
                        <w:t xml:space="preserve">The QCL Type A RS(s) applied to each CC/BWP is that corresponding to the same resource ID(s) indicated by the TCI state IDs </w:t>
                      </w:r>
                    </w:p>
                    <w:p w14:paraId="16ABD6F2" w14:textId="77777777" w:rsidR="00384AC2" w:rsidRPr="004B1E35" w:rsidRDefault="00384AC2" w:rsidP="00763A48">
                      <w:pPr>
                        <w:pStyle w:val="LGTdoc"/>
                        <w:widowControl/>
                        <w:numPr>
                          <w:ilvl w:val="0"/>
                          <w:numId w:val="23"/>
                        </w:numPr>
                        <w:adjustRightInd/>
                        <w:spacing w:afterLines="0" w:after="0" w:line="240" w:lineRule="auto"/>
                        <w:contextualSpacing/>
                        <w:rPr>
                          <w:szCs w:val="22"/>
                          <w:lang w:eastAsia="zh-CN"/>
                        </w:rPr>
                      </w:pPr>
                      <w:r w:rsidRPr="004B1E35">
                        <w:rPr>
                          <w:szCs w:val="22"/>
                        </w:rPr>
                        <w:t>FFS: operation/</w:t>
                      </w:r>
                      <w:proofErr w:type="spellStart"/>
                      <w:r w:rsidRPr="004B1E35">
                        <w:rPr>
                          <w:szCs w:val="22"/>
                        </w:rPr>
                        <w:t>signaling</w:t>
                      </w:r>
                      <w:proofErr w:type="spellEnd"/>
                      <w:r w:rsidRPr="004B1E35">
                        <w:rPr>
                          <w:szCs w:val="22"/>
                        </w:rPr>
                        <w:t xml:space="preserve"> details including the possibility to activate different sets of PDSCH TCI state IDs for multiple CCs/BWPs</w:t>
                      </w:r>
                    </w:p>
                    <w:p w14:paraId="2AB9901D" w14:textId="38C52E74" w:rsidR="00384AC2" w:rsidRPr="00763A48" w:rsidRDefault="00384AC2" w:rsidP="00763A48">
                      <w:pPr>
                        <w:pStyle w:val="LGTdoc"/>
                        <w:widowControl/>
                        <w:numPr>
                          <w:ilvl w:val="0"/>
                          <w:numId w:val="23"/>
                        </w:numPr>
                        <w:adjustRightInd/>
                        <w:spacing w:afterLines="0" w:after="0" w:line="240" w:lineRule="auto"/>
                        <w:contextualSpacing/>
                        <w:rPr>
                          <w:szCs w:val="22"/>
                          <w:lang w:eastAsia="zh-CN"/>
                        </w:rPr>
                      </w:pPr>
                      <w:r w:rsidRPr="004B1E35">
                        <w:rPr>
                          <w:szCs w:val="22"/>
                        </w:rPr>
                        <w:t>Note: QCL type-A comes from the BWP where the TCI state is applied</w:t>
                      </w:r>
                    </w:p>
                  </w:txbxContent>
                </v:textbox>
                <w10:anchorlock/>
              </v:shape>
            </w:pict>
          </mc:Fallback>
        </mc:AlternateContent>
      </w:r>
    </w:p>
    <w:p w14:paraId="37B2618F" w14:textId="77777777" w:rsidR="00763A48" w:rsidRDefault="00763A48" w:rsidP="00705F01">
      <w:pPr>
        <w:pStyle w:val="BodyText"/>
      </w:pPr>
      <w:r>
        <w:t xml:space="preserve">Our understanding of the proposed functionality captured in this agreement is that it would alleviate the need to send several </w:t>
      </w:r>
      <w:proofErr w:type="gramStart"/>
      <w:r>
        <w:t>MAC</w:t>
      </w:r>
      <w:proofErr w:type="gramEnd"/>
      <w:r>
        <w:t xml:space="preserve"> CEs when the TCI state needs to be simultaneously updated in several CCs, a situation that would be quite common in FR2. However, the agreement only applies to TCI states for PDSCH, thus not leading to any signalling reduction for the more common case where the PDSCH follows the PDCCH:</w:t>
      </w:r>
    </w:p>
    <w:p w14:paraId="65CC8BD0" w14:textId="77777777" w:rsidR="00763A48" w:rsidRDefault="00763A48" w:rsidP="00763A48">
      <w:pPr>
        <w:pStyle w:val="Observation"/>
      </w:pPr>
      <w:bookmarkStart w:id="15" w:name="_Toc21098140"/>
      <w:r>
        <w:t>The most common deployment is that the TCI state of the PDSCH follows the TCI state of the PDCCH.</w:t>
      </w:r>
      <w:bookmarkEnd w:id="15"/>
    </w:p>
    <w:p w14:paraId="65B09F61" w14:textId="74EC7F9D" w:rsidR="00763A48" w:rsidRDefault="00763A48" w:rsidP="00763A48">
      <w:pPr>
        <w:pStyle w:val="BodyText"/>
      </w:pPr>
      <w:r>
        <w:t>Large scale deployment of independent control of the TCI state for PDSCH is hindered by low UE capabilities.</w:t>
      </w:r>
      <w:r w:rsidR="00570D05">
        <w:t xml:space="preserve"> Hence, we propose</w:t>
      </w:r>
    </w:p>
    <w:p w14:paraId="2B1AFF5D" w14:textId="073449F2" w:rsidR="00570D05" w:rsidRDefault="00570D05" w:rsidP="00570D05">
      <w:pPr>
        <w:pStyle w:val="Proposal"/>
      </w:pPr>
      <w:bookmarkStart w:id="16" w:name="_Toc21098167"/>
      <w:r>
        <w:t xml:space="preserve">Any signalling reduction for TCI state activation across CCs should also be applicable to the case where </w:t>
      </w:r>
      <w:proofErr w:type="spellStart"/>
      <w:r>
        <w:t>TciPresentInDci</w:t>
      </w:r>
      <w:proofErr w:type="spellEnd"/>
      <w:r>
        <w:t xml:space="preserve"> is not defined, i.e., when PDSCH follows PD</w:t>
      </w:r>
      <w:r w:rsidR="00CF1CAD">
        <w:t>C</w:t>
      </w:r>
      <w:r>
        <w:t>CH.</w:t>
      </w:r>
      <w:bookmarkEnd w:id="16"/>
      <w:r>
        <w:t xml:space="preserve"> </w:t>
      </w:r>
    </w:p>
    <w:p w14:paraId="5942DB86" w14:textId="442F1250" w:rsidR="00570D05" w:rsidRDefault="00570D05" w:rsidP="00763A48">
      <w:pPr>
        <w:pStyle w:val="BodyText"/>
      </w:pPr>
      <w:r>
        <w:t xml:space="preserve">It may also be problematic if it is not clear to which CCs the signalling is applied. The suggestions in the agreement point to “same band”, which is not an entity which is defined in the RAN2 specification. </w:t>
      </w:r>
      <w:r w:rsidR="001339A3">
        <w:t xml:space="preserve">This issue can be avoided a TCI state group </w:t>
      </w:r>
      <w:r w:rsidR="001B5463">
        <w:t xml:space="preserve">is </w:t>
      </w:r>
      <w:r w:rsidR="001339A3">
        <w:t>defined on cell group level:</w:t>
      </w:r>
    </w:p>
    <w:p w14:paraId="5CDE603A" w14:textId="78A163A3" w:rsidR="001B5463" w:rsidRDefault="001B5463" w:rsidP="001B5463">
      <w:pPr>
        <w:pStyle w:val="Observation"/>
      </w:pPr>
      <w:bookmarkStart w:id="17" w:name="_Toc21098141"/>
      <w:r>
        <w:t>Any potential ambiguity of which CCs are affected by the MAC CE command is removed if the TCI state group is explicitly defined.</w:t>
      </w:r>
      <w:bookmarkEnd w:id="17"/>
      <w:r>
        <w:t xml:space="preserve"> </w:t>
      </w:r>
    </w:p>
    <w:p w14:paraId="32008FA8" w14:textId="77777777" w:rsidR="00570D05" w:rsidRDefault="00570D05" w:rsidP="00763A48">
      <w:pPr>
        <w:pStyle w:val="BodyText"/>
      </w:pPr>
      <w:r>
        <w:t xml:space="preserve">However, </w:t>
      </w:r>
      <w:proofErr w:type="gramStart"/>
      <w:r>
        <w:t>as long as</w:t>
      </w:r>
      <w:proofErr w:type="gramEnd"/>
      <w:r>
        <w:t xml:space="preserve"> the signalling reduction is applicable to also to ‘PDSCH follows PDCCH’, the functionality is valuable. The signalling details should be left to RAN2:</w:t>
      </w:r>
    </w:p>
    <w:p w14:paraId="5B895475" w14:textId="77777777" w:rsidR="00605A0E" w:rsidRDefault="00605A0E" w:rsidP="00570D05">
      <w:pPr>
        <w:pStyle w:val="Proposal"/>
      </w:pPr>
      <w:bookmarkStart w:id="18" w:name="_Toc21098168"/>
      <w:r>
        <w:t>Introduce MAC CE signalling that facilitates simultaneous activation of TCI states across CCs for PDCCH and PDSCH.</w:t>
      </w:r>
      <w:bookmarkEnd w:id="18"/>
    </w:p>
    <w:p w14:paraId="38D783FA" w14:textId="2441201E" w:rsidR="009924B4" w:rsidRPr="00705F01" w:rsidRDefault="00605A0E" w:rsidP="00763A48">
      <w:pPr>
        <w:pStyle w:val="Proposal"/>
      </w:pPr>
      <w:bookmarkStart w:id="19" w:name="_Toc21098169"/>
      <w:r>
        <w:t xml:space="preserve">Send </w:t>
      </w:r>
      <w:proofErr w:type="gramStart"/>
      <w:r>
        <w:t>an</w:t>
      </w:r>
      <w:proofErr w:type="gramEnd"/>
      <w:r>
        <w:t xml:space="preserve"> LS to RAN2 asking them to design the signalling.</w:t>
      </w:r>
      <w:bookmarkEnd w:id="19"/>
      <w:r w:rsidR="00570D05">
        <w:t xml:space="preserve"> </w:t>
      </w:r>
    </w:p>
    <w:p w14:paraId="436B6889" w14:textId="30BFE3C7" w:rsidR="00560E5D" w:rsidRDefault="00560E5D" w:rsidP="00560E5D">
      <w:pPr>
        <w:pStyle w:val="Heading3"/>
      </w:pPr>
      <w:r>
        <w:t>2.1.4</w:t>
      </w:r>
      <w:r>
        <w:tab/>
        <w:t>Power control</w:t>
      </w:r>
    </w:p>
    <w:p w14:paraId="3D7C0147" w14:textId="77777777" w:rsidR="00485A91" w:rsidRDefault="00A27E09" w:rsidP="00A27E09">
      <w:pPr>
        <w:pStyle w:val="BodyText"/>
      </w:pPr>
      <w:r>
        <w:t>In</w:t>
      </w:r>
      <w:r w:rsidR="00485A91">
        <w:t xml:space="preserve"> RAN1#98, the following was agreed:</w:t>
      </w:r>
    </w:p>
    <w:p w14:paraId="184ABCC8" w14:textId="45031F6E" w:rsidR="00485A91" w:rsidRDefault="00485A91" w:rsidP="00485A91">
      <w:pPr>
        <w:pStyle w:val="BodyText"/>
      </w:pPr>
      <w:r>
        <w:rPr>
          <w:noProof/>
        </w:rPr>
        <w:lastRenderedPageBreak/>
        <mc:AlternateContent>
          <mc:Choice Requires="wps">
            <w:drawing>
              <wp:inline distT="0" distB="0" distL="0" distR="0" wp14:anchorId="06390027" wp14:editId="53C7942F">
                <wp:extent cx="6096000" cy="1752600"/>
                <wp:effectExtent l="0" t="0" r="19050" b="20955"/>
                <wp:docPr id="1" name="Text Box 1"/>
                <wp:cNvGraphicFramePr/>
                <a:graphic xmlns:a="http://schemas.openxmlformats.org/drawingml/2006/main">
                  <a:graphicData uri="http://schemas.microsoft.com/office/word/2010/wordprocessingShape">
                    <wps:wsp>
                      <wps:cNvSpPr txBox="1"/>
                      <wps:spPr>
                        <a:xfrm>
                          <a:off x="0" y="0"/>
                          <a:ext cx="6096000" cy="1752600"/>
                        </a:xfrm>
                        <a:prstGeom prst="rect">
                          <a:avLst/>
                        </a:prstGeom>
                        <a:solidFill>
                          <a:schemeClr val="lt1"/>
                        </a:solidFill>
                        <a:ln w="6350">
                          <a:solidFill>
                            <a:prstClr val="black"/>
                          </a:solidFill>
                        </a:ln>
                      </wps:spPr>
                      <wps:txbx>
                        <w:txbxContent>
                          <w:p w14:paraId="0655CDE0" w14:textId="77777777" w:rsidR="00384AC2" w:rsidRPr="00485A91" w:rsidRDefault="00384AC2" w:rsidP="00485A91">
                            <w:pPr>
                              <w:rPr>
                                <w:b/>
                                <w:bCs/>
                                <w:sz w:val="22"/>
                                <w:szCs w:val="22"/>
                                <w:highlight w:val="green"/>
                                <w:lang w:val="en-US" w:eastAsia="x-none"/>
                              </w:rPr>
                            </w:pPr>
                            <w:r w:rsidRPr="00485A91">
                              <w:rPr>
                                <w:b/>
                                <w:bCs/>
                                <w:sz w:val="22"/>
                                <w:szCs w:val="22"/>
                                <w:highlight w:val="green"/>
                                <w:lang w:val="en-US" w:eastAsia="x-none"/>
                              </w:rPr>
                              <w:t>Agreement</w:t>
                            </w:r>
                          </w:p>
                          <w:p w14:paraId="24C7CD83" w14:textId="77777777" w:rsidR="00384AC2" w:rsidRPr="00485A91" w:rsidRDefault="00384AC2" w:rsidP="00485A91">
                            <w:pPr>
                              <w:rPr>
                                <w:bCs/>
                                <w:sz w:val="22"/>
                                <w:szCs w:val="22"/>
                              </w:rPr>
                            </w:pPr>
                            <w:r w:rsidRPr="00485A91">
                              <w:rPr>
                                <w:bCs/>
                                <w:sz w:val="22"/>
                                <w:szCs w:val="22"/>
                              </w:rPr>
                              <w:t>Continue discussion on the support of updating pathloss RSs for power control for PUSCH and SRS via MAC-CE, including the following candidates until RAN1#98bis:</w:t>
                            </w:r>
                          </w:p>
                          <w:p w14:paraId="2023EAD7" w14:textId="77777777" w:rsidR="00384AC2" w:rsidRPr="00485A91" w:rsidRDefault="00384AC2" w:rsidP="00485A91">
                            <w:pPr>
                              <w:numPr>
                                <w:ilvl w:val="0"/>
                                <w:numId w:val="23"/>
                              </w:numPr>
                              <w:overflowPunct/>
                              <w:autoSpaceDE/>
                              <w:autoSpaceDN/>
                              <w:snapToGrid w:val="0"/>
                              <w:spacing w:after="0"/>
                              <w:ind w:left="720" w:hanging="320"/>
                              <w:contextualSpacing/>
                              <w:textAlignment w:val="auto"/>
                              <w:rPr>
                                <w:bCs/>
                                <w:sz w:val="22"/>
                                <w:szCs w:val="22"/>
                              </w:rPr>
                            </w:pPr>
                            <w:r w:rsidRPr="00485A91">
                              <w:rPr>
                                <w:bCs/>
                                <w:sz w:val="22"/>
                                <w:szCs w:val="22"/>
                              </w:rPr>
                              <w:t>Option 1: For codebook based PUSCH transmission, the pathloss RS follows DL RS in spatial relation associated with SRI indicated in scheduling DCI, if the pathloss RS is not configured and periodic DL RS is configured in the spatial relation.</w:t>
                            </w:r>
                          </w:p>
                          <w:p w14:paraId="1CF50230"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FFS: the cases of non-codebook based PUSCH, SRS</w:t>
                            </w:r>
                          </w:p>
                          <w:p w14:paraId="7E61BB3C" w14:textId="77777777" w:rsidR="00384AC2" w:rsidRPr="00485A91" w:rsidRDefault="00384AC2" w:rsidP="00485A91">
                            <w:pPr>
                              <w:numPr>
                                <w:ilvl w:val="0"/>
                                <w:numId w:val="23"/>
                              </w:numPr>
                              <w:overflowPunct/>
                              <w:autoSpaceDE/>
                              <w:autoSpaceDN/>
                              <w:snapToGrid w:val="0"/>
                              <w:spacing w:after="0"/>
                              <w:ind w:left="720" w:hanging="320"/>
                              <w:contextualSpacing/>
                              <w:textAlignment w:val="auto"/>
                              <w:rPr>
                                <w:bCs/>
                                <w:sz w:val="22"/>
                                <w:szCs w:val="22"/>
                              </w:rPr>
                            </w:pPr>
                            <w:r w:rsidRPr="00485A91">
                              <w:rPr>
                                <w:bCs/>
                                <w:sz w:val="22"/>
                                <w:szCs w:val="22"/>
                              </w:rPr>
                              <w:t>Option 2: Pathloss RS is associated/configured for downlink RS in spatial relation info.</w:t>
                            </w:r>
                          </w:p>
                          <w:p w14:paraId="0658D7CC"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gNB can configure more than 4 pathloss RSs.</w:t>
                            </w:r>
                          </w:p>
                          <w:p w14:paraId="195B6F46" w14:textId="77777777" w:rsidR="00384AC2" w:rsidRPr="00485A91" w:rsidRDefault="00384AC2" w:rsidP="00485A91">
                            <w:pPr>
                              <w:numPr>
                                <w:ilvl w:val="0"/>
                                <w:numId w:val="23"/>
                              </w:numPr>
                              <w:overflowPunct/>
                              <w:autoSpaceDE/>
                              <w:autoSpaceDN/>
                              <w:snapToGrid w:val="0"/>
                              <w:spacing w:after="0"/>
                              <w:ind w:left="720" w:hanging="320"/>
                              <w:contextualSpacing/>
                              <w:textAlignment w:val="auto"/>
                              <w:rPr>
                                <w:bCs/>
                                <w:sz w:val="22"/>
                                <w:szCs w:val="22"/>
                              </w:rPr>
                            </w:pPr>
                            <w:r w:rsidRPr="00485A91">
                              <w:rPr>
                                <w:bCs/>
                                <w:sz w:val="22"/>
                                <w:szCs w:val="22"/>
                              </w:rPr>
                              <w:t>Option 3: At least the pathloss RSs for SRS or PUSCH can be explicitly activated/updated by the MAC-CE</w:t>
                            </w:r>
                          </w:p>
                          <w:p w14:paraId="63C892D0"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FFS: The other power control parameters including P0, alpha, and a closed loop process index are also activated by the MAC-CE</w:t>
                            </w:r>
                          </w:p>
                          <w:p w14:paraId="20B53338"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FFS on whether to support the number of configured pathloss RSs are more than four.</w:t>
                            </w:r>
                          </w:p>
                          <w:p w14:paraId="627AB645"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Note: The MAC-CE is the activation MAC CE for ap-SRS/</w:t>
                            </w:r>
                            <w:proofErr w:type="spellStart"/>
                            <w:r w:rsidRPr="00485A91">
                              <w:rPr>
                                <w:bCs/>
                                <w:sz w:val="22"/>
                                <w:szCs w:val="22"/>
                              </w:rPr>
                              <w:t>sp</w:t>
                            </w:r>
                            <w:proofErr w:type="spellEnd"/>
                            <w:r w:rsidRPr="00485A91">
                              <w:rPr>
                                <w:bCs/>
                                <w:sz w:val="22"/>
                                <w:szCs w:val="22"/>
                              </w:rPr>
                              <w:t>-SRS.</w:t>
                            </w:r>
                          </w:p>
                          <w:p w14:paraId="18AF677C" w14:textId="77777777" w:rsidR="00384AC2" w:rsidRPr="00485A91" w:rsidRDefault="00384AC2" w:rsidP="00485A91">
                            <w:pPr>
                              <w:numPr>
                                <w:ilvl w:val="0"/>
                                <w:numId w:val="23"/>
                              </w:numPr>
                              <w:overflowPunct/>
                              <w:autoSpaceDE/>
                              <w:autoSpaceDN/>
                              <w:snapToGrid w:val="0"/>
                              <w:spacing w:after="0"/>
                              <w:contextualSpacing/>
                              <w:textAlignment w:val="auto"/>
                              <w:rPr>
                                <w:bCs/>
                                <w:sz w:val="22"/>
                                <w:szCs w:val="22"/>
                              </w:rPr>
                            </w:pPr>
                            <w:r w:rsidRPr="00485A91">
                              <w:rPr>
                                <w:bCs/>
                                <w:sz w:val="22"/>
                                <w:szCs w:val="22"/>
                              </w:rPr>
                              <w:t>Option 4: Support updating TCI state for periodic CSI-RS by MAC CE.</w:t>
                            </w:r>
                          </w:p>
                          <w:p w14:paraId="1C21C189"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Note: The periodic CSI-RS is used for pathloss reference.</w:t>
                            </w:r>
                          </w:p>
                          <w:p w14:paraId="560A752B" w14:textId="77777777" w:rsidR="00384AC2" w:rsidRPr="00485A91" w:rsidRDefault="00384AC2" w:rsidP="00485A91">
                            <w:pPr>
                              <w:numPr>
                                <w:ilvl w:val="0"/>
                                <w:numId w:val="23"/>
                              </w:numPr>
                              <w:overflowPunct/>
                              <w:autoSpaceDE/>
                              <w:autoSpaceDN/>
                              <w:snapToGrid w:val="0"/>
                              <w:spacing w:after="0"/>
                              <w:contextualSpacing/>
                              <w:textAlignment w:val="auto"/>
                              <w:rPr>
                                <w:bCs/>
                                <w:sz w:val="22"/>
                                <w:szCs w:val="22"/>
                              </w:rPr>
                            </w:pPr>
                            <w:r w:rsidRPr="00485A91">
                              <w:rPr>
                                <w:bCs/>
                                <w:sz w:val="22"/>
                                <w:szCs w:val="22"/>
                              </w:rPr>
                              <w:t>Option 5: Support semi-persistent CSI-RS for pathloss reference RS.</w:t>
                            </w:r>
                          </w:p>
                          <w:p w14:paraId="7C0A7D52" w14:textId="782BD7CF" w:rsidR="00384AC2" w:rsidRPr="00485A91" w:rsidRDefault="00384AC2" w:rsidP="00485A91">
                            <w:pPr>
                              <w:numPr>
                                <w:ilvl w:val="0"/>
                                <w:numId w:val="23"/>
                              </w:numPr>
                              <w:overflowPunct/>
                              <w:autoSpaceDE/>
                              <w:autoSpaceDN/>
                              <w:snapToGrid w:val="0"/>
                              <w:spacing w:after="0"/>
                              <w:contextualSpacing/>
                              <w:textAlignment w:val="auto"/>
                              <w:rPr>
                                <w:bCs/>
                                <w:sz w:val="22"/>
                                <w:szCs w:val="22"/>
                              </w:rPr>
                            </w:pPr>
                            <w:r w:rsidRPr="00485A91">
                              <w:rPr>
                                <w:bCs/>
                                <w:sz w:val="22"/>
                                <w:szCs w:val="22"/>
                              </w:rPr>
                              <w:t>Note: Baseline is that the same transmission power is applied within SRS resource set (same as Rel-15).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390027" id="Text Box 1" o:spid="_x0000_s1029" type="#_x0000_t202" style="width:480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" fillcolor="white [3201]" strokeweight=".5pt">
                <v:textbox style="mso-fit-shape-to-text:t">
                  <w:txbxContent>
                    <w:p w14:paraId="0655CDE0" w14:textId="77777777" w:rsidR="00384AC2" w:rsidRPr="00485A91" w:rsidRDefault="00384AC2" w:rsidP="00485A91">
                      <w:pPr>
                        <w:rPr>
                          <w:b/>
                          <w:bCs/>
                          <w:sz w:val="22"/>
                          <w:szCs w:val="22"/>
                          <w:highlight w:val="green"/>
                          <w:lang w:val="en-US" w:eastAsia="x-none"/>
                        </w:rPr>
                      </w:pPr>
                      <w:r w:rsidRPr="00485A91">
                        <w:rPr>
                          <w:b/>
                          <w:bCs/>
                          <w:sz w:val="22"/>
                          <w:szCs w:val="22"/>
                          <w:highlight w:val="green"/>
                          <w:lang w:val="en-US" w:eastAsia="x-none"/>
                        </w:rPr>
                        <w:t>Agreement</w:t>
                      </w:r>
                    </w:p>
                    <w:p w14:paraId="24C7CD83" w14:textId="77777777" w:rsidR="00384AC2" w:rsidRPr="00485A91" w:rsidRDefault="00384AC2" w:rsidP="00485A91">
                      <w:pPr>
                        <w:rPr>
                          <w:bCs/>
                          <w:sz w:val="22"/>
                          <w:szCs w:val="22"/>
                        </w:rPr>
                      </w:pPr>
                      <w:r w:rsidRPr="00485A91">
                        <w:rPr>
                          <w:bCs/>
                          <w:sz w:val="22"/>
                          <w:szCs w:val="22"/>
                        </w:rPr>
                        <w:t>Continue discussion on the support of updating pathloss RSs for power control for PUSCH and SRS via MAC-CE, including the following candidates until RAN1#98bis:</w:t>
                      </w:r>
                    </w:p>
                    <w:p w14:paraId="2023EAD7" w14:textId="77777777" w:rsidR="00384AC2" w:rsidRPr="00485A91" w:rsidRDefault="00384AC2" w:rsidP="00485A91">
                      <w:pPr>
                        <w:numPr>
                          <w:ilvl w:val="0"/>
                          <w:numId w:val="23"/>
                        </w:numPr>
                        <w:overflowPunct/>
                        <w:autoSpaceDE/>
                        <w:autoSpaceDN/>
                        <w:snapToGrid w:val="0"/>
                        <w:spacing w:after="0"/>
                        <w:ind w:left="720" w:hanging="320"/>
                        <w:contextualSpacing/>
                        <w:textAlignment w:val="auto"/>
                        <w:rPr>
                          <w:bCs/>
                          <w:sz w:val="22"/>
                          <w:szCs w:val="22"/>
                        </w:rPr>
                      </w:pPr>
                      <w:r w:rsidRPr="00485A91">
                        <w:rPr>
                          <w:bCs/>
                          <w:sz w:val="22"/>
                          <w:szCs w:val="22"/>
                        </w:rPr>
                        <w:t>Option 1: For codebook based PUSCH transmission, the pathloss RS follows DL RS in spatial relation associated with SRI indicated in scheduling DCI, if the pathloss RS is not configured and periodic DL RS is configured in the spatial relation.</w:t>
                      </w:r>
                    </w:p>
                    <w:p w14:paraId="1CF50230"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FFS: the cases of non-codebook based PUSCH, SRS</w:t>
                      </w:r>
                    </w:p>
                    <w:p w14:paraId="7E61BB3C" w14:textId="77777777" w:rsidR="00384AC2" w:rsidRPr="00485A91" w:rsidRDefault="00384AC2" w:rsidP="00485A91">
                      <w:pPr>
                        <w:numPr>
                          <w:ilvl w:val="0"/>
                          <w:numId w:val="23"/>
                        </w:numPr>
                        <w:overflowPunct/>
                        <w:autoSpaceDE/>
                        <w:autoSpaceDN/>
                        <w:snapToGrid w:val="0"/>
                        <w:spacing w:after="0"/>
                        <w:ind w:left="720" w:hanging="320"/>
                        <w:contextualSpacing/>
                        <w:textAlignment w:val="auto"/>
                        <w:rPr>
                          <w:bCs/>
                          <w:sz w:val="22"/>
                          <w:szCs w:val="22"/>
                        </w:rPr>
                      </w:pPr>
                      <w:r w:rsidRPr="00485A91">
                        <w:rPr>
                          <w:bCs/>
                          <w:sz w:val="22"/>
                          <w:szCs w:val="22"/>
                        </w:rPr>
                        <w:t>Option 2: Pathloss RS is associated/configured for downlink RS in spatial relation info.</w:t>
                      </w:r>
                    </w:p>
                    <w:p w14:paraId="0658D7CC"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gNB can configure more than 4 pathloss RSs.</w:t>
                      </w:r>
                    </w:p>
                    <w:p w14:paraId="195B6F46" w14:textId="77777777" w:rsidR="00384AC2" w:rsidRPr="00485A91" w:rsidRDefault="00384AC2" w:rsidP="00485A91">
                      <w:pPr>
                        <w:numPr>
                          <w:ilvl w:val="0"/>
                          <w:numId w:val="23"/>
                        </w:numPr>
                        <w:overflowPunct/>
                        <w:autoSpaceDE/>
                        <w:autoSpaceDN/>
                        <w:snapToGrid w:val="0"/>
                        <w:spacing w:after="0"/>
                        <w:ind w:left="720" w:hanging="320"/>
                        <w:contextualSpacing/>
                        <w:textAlignment w:val="auto"/>
                        <w:rPr>
                          <w:bCs/>
                          <w:sz w:val="22"/>
                          <w:szCs w:val="22"/>
                        </w:rPr>
                      </w:pPr>
                      <w:r w:rsidRPr="00485A91">
                        <w:rPr>
                          <w:bCs/>
                          <w:sz w:val="22"/>
                          <w:szCs w:val="22"/>
                        </w:rPr>
                        <w:t>Option 3: At least the pathloss RSs for SRS or PUSCH can be explicitly activated/updated by the MAC-CE</w:t>
                      </w:r>
                    </w:p>
                    <w:p w14:paraId="63C892D0"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FFS: The other power control parameters including P0, alpha, and a closed loop process index are also activated by the MAC-CE</w:t>
                      </w:r>
                    </w:p>
                    <w:p w14:paraId="20B53338"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FFS on whether to support the number of configured pathloss RSs are more than four.</w:t>
                      </w:r>
                    </w:p>
                    <w:p w14:paraId="627AB645"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Note: The MAC-CE is the activation MAC CE for ap-SRS/</w:t>
                      </w:r>
                      <w:proofErr w:type="spellStart"/>
                      <w:r w:rsidRPr="00485A91">
                        <w:rPr>
                          <w:bCs/>
                          <w:sz w:val="22"/>
                          <w:szCs w:val="22"/>
                        </w:rPr>
                        <w:t>sp</w:t>
                      </w:r>
                      <w:proofErr w:type="spellEnd"/>
                      <w:r w:rsidRPr="00485A91">
                        <w:rPr>
                          <w:bCs/>
                          <w:sz w:val="22"/>
                          <w:szCs w:val="22"/>
                        </w:rPr>
                        <w:t>-SRS.</w:t>
                      </w:r>
                    </w:p>
                    <w:p w14:paraId="18AF677C" w14:textId="77777777" w:rsidR="00384AC2" w:rsidRPr="00485A91" w:rsidRDefault="00384AC2" w:rsidP="00485A91">
                      <w:pPr>
                        <w:numPr>
                          <w:ilvl w:val="0"/>
                          <w:numId w:val="23"/>
                        </w:numPr>
                        <w:overflowPunct/>
                        <w:autoSpaceDE/>
                        <w:autoSpaceDN/>
                        <w:snapToGrid w:val="0"/>
                        <w:spacing w:after="0"/>
                        <w:contextualSpacing/>
                        <w:textAlignment w:val="auto"/>
                        <w:rPr>
                          <w:bCs/>
                          <w:sz w:val="22"/>
                          <w:szCs w:val="22"/>
                        </w:rPr>
                      </w:pPr>
                      <w:r w:rsidRPr="00485A91">
                        <w:rPr>
                          <w:bCs/>
                          <w:sz w:val="22"/>
                          <w:szCs w:val="22"/>
                        </w:rPr>
                        <w:t>Option 4: Support updating TCI state for periodic CSI-RS by MAC CE.</w:t>
                      </w:r>
                    </w:p>
                    <w:p w14:paraId="1C21C189" w14:textId="77777777" w:rsidR="00384AC2" w:rsidRPr="00485A91" w:rsidRDefault="00384AC2" w:rsidP="00485A91">
                      <w:pPr>
                        <w:numPr>
                          <w:ilvl w:val="1"/>
                          <w:numId w:val="23"/>
                        </w:numPr>
                        <w:overflowPunct/>
                        <w:autoSpaceDE/>
                        <w:autoSpaceDN/>
                        <w:snapToGrid w:val="0"/>
                        <w:spacing w:after="0"/>
                        <w:contextualSpacing/>
                        <w:textAlignment w:val="auto"/>
                        <w:rPr>
                          <w:bCs/>
                          <w:sz w:val="22"/>
                          <w:szCs w:val="22"/>
                        </w:rPr>
                      </w:pPr>
                      <w:r w:rsidRPr="00485A91">
                        <w:rPr>
                          <w:bCs/>
                          <w:sz w:val="22"/>
                          <w:szCs w:val="22"/>
                        </w:rPr>
                        <w:t>Note: The periodic CSI-RS is used for pathloss reference.</w:t>
                      </w:r>
                    </w:p>
                    <w:p w14:paraId="560A752B" w14:textId="77777777" w:rsidR="00384AC2" w:rsidRPr="00485A91" w:rsidRDefault="00384AC2" w:rsidP="00485A91">
                      <w:pPr>
                        <w:numPr>
                          <w:ilvl w:val="0"/>
                          <w:numId w:val="23"/>
                        </w:numPr>
                        <w:overflowPunct/>
                        <w:autoSpaceDE/>
                        <w:autoSpaceDN/>
                        <w:snapToGrid w:val="0"/>
                        <w:spacing w:after="0"/>
                        <w:contextualSpacing/>
                        <w:textAlignment w:val="auto"/>
                        <w:rPr>
                          <w:bCs/>
                          <w:sz w:val="22"/>
                          <w:szCs w:val="22"/>
                        </w:rPr>
                      </w:pPr>
                      <w:r w:rsidRPr="00485A91">
                        <w:rPr>
                          <w:bCs/>
                          <w:sz w:val="22"/>
                          <w:szCs w:val="22"/>
                        </w:rPr>
                        <w:t>Option 5: Support semi-persistent CSI-RS for pathloss reference RS.</w:t>
                      </w:r>
                    </w:p>
                    <w:p w14:paraId="7C0A7D52" w14:textId="782BD7CF" w:rsidR="00384AC2" w:rsidRPr="00485A91" w:rsidRDefault="00384AC2" w:rsidP="00485A91">
                      <w:pPr>
                        <w:numPr>
                          <w:ilvl w:val="0"/>
                          <w:numId w:val="23"/>
                        </w:numPr>
                        <w:overflowPunct/>
                        <w:autoSpaceDE/>
                        <w:autoSpaceDN/>
                        <w:snapToGrid w:val="0"/>
                        <w:spacing w:after="0"/>
                        <w:contextualSpacing/>
                        <w:textAlignment w:val="auto"/>
                        <w:rPr>
                          <w:bCs/>
                          <w:sz w:val="22"/>
                          <w:szCs w:val="22"/>
                        </w:rPr>
                      </w:pPr>
                      <w:r w:rsidRPr="00485A91">
                        <w:rPr>
                          <w:bCs/>
                          <w:sz w:val="22"/>
                          <w:szCs w:val="22"/>
                        </w:rPr>
                        <w:t>Note: Baseline is that the same transmission power is applied within SRS resource set (same as Rel-15).</w:t>
                      </w:r>
                    </w:p>
                  </w:txbxContent>
                </v:textbox>
                <w10:anchorlock/>
              </v:shape>
            </w:pict>
          </mc:Fallback>
        </mc:AlternateContent>
      </w:r>
    </w:p>
    <w:p w14:paraId="66248223" w14:textId="383B8BE2" w:rsidR="00041640" w:rsidRDefault="00485A91" w:rsidP="001B5463">
      <w:pPr>
        <w:pStyle w:val="BodyText"/>
      </w:pPr>
      <w:r>
        <w:t xml:space="preserve">All these options aim at reducing the </w:t>
      </w:r>
      <w:r w:rsidR="00112432">
        <w:t>signalling</w:t>
      </w:r>
      <w:r>
        <w:t xml:space="preserve"> load required to update the pathloss reference RS. </w:t>
      </w:r>
      <w:proofErr w:type="gramStart"/>
      <w:r>
        <w:t>In particular, RRC</w:t>
      </w:r>
      <w:proofErr w:type="gramEnd"/>
      <w:r>
        <w:t xml:space="preserve"> reconfigurations should be avoided as long as the UE moves within the cell. </w:t>
      </w:r>
    </w:p>
    <w:p w14:paraId="1EC2E66F" w14:textId="2F478D74" w:rsidR="00CC6B20" w:rsidRDefault="00041640" w:rsidP="00170E9B">
      <w:pPr>
        <w:pStyle w:val="BodyText"/>
      </w:pPr>
      <w:r>
        <w:t xml:space="preserve">We note that with option 1, the </w:t>
      </w:r>
      <w:r w:rsidR="00170E9B">
        <w:t xml:space="preserve">transmit power of PUSCH is tied to the spatial relation of an SRS. The parameters controlling the transmit power of the SRS </w:t>
      </w:r>
      <w:r w:rsidR="00170E9B" w:rsidRPr="00170E9B">
        <w:rPr>
          <w:i/>
        </w:rPr>
        <w:t>itself</w:t>
      </w:r>
      <w:r w:rsidR="00170E9B">
        <w:t xml:space="preserve"> are on the other hand explicitly provided in the SRS resource.</w:t>
      </w:r>
      <w:r w:rsidR="00450F85">
        <w:t xml:space="preserve"> </w:t>
      </w:r>
      <w:r w:rsidR="00CC6B20">
        <w:t>The logic behind th</w:t>
      </w:r>
      <w:r w:rsidR="001B5463">
        <w:t xml:space="preserve">e parameter </w:t>
      </w:r>
      <w:r w:rsidR="00CC6B20">
        <w:t>structure is extremely hard to follow, especially since the other power control parameters are supposedly still taken from the PUSCH-</w:t>
      </w:r>
      <w:proofErr w:type="spellStart"/>
      <w:r w:rsidR="00CC6B20">
        <w:t>PowerControl</w:t>
      </w:r>
      <w:proofErr w:type="spellEnd"/>
      <w:r w:rsidR="00CC6B20">
        <w:t xml:space="preserve"> IE:</w:t>
      </w:r>
    </w:p>
    <w:p w14:paraId="692BABBA" w14:textId="1FD69C3B" w:rsidR="00112432" w:rsidRDefault="00CC6B20" w:rsidP="00CC6B20">
      <w:pPr>
        <w:pStyle w:val="Observation"/>
      </w:pPr>
      <w:bookmarkStart w:id="20" w:name="_Toc21098142"/>
      <w:r>
        <w:t xml:space="preserve">Coupling the pathloss reference RS to the spatial relation of another RS leads to badly structured </w:t>
      </w:r>
      <w:proofErr w:type="gramStart"/>
      <w:r>
        <w:t>RRC, and</w:t>
      </w:r>
      <w:proofErr w:type="gramEnd"/>
      <w:r>
        <w:t xml:space="preserve"> makes it difficult to understand from where the various parameters are taken.</w:t>
      </w:r>
      <w:bookmarkEnd w:id="20"/>
    </w:p>
    <w:p w14:paraId="409FED11" w14:textId="4D31FE3D" w:rsidR="00112432" w:rsidRDefault="00112432" w:rsidP="003C236D">
      <w:pPr>
        <w:pStyle w:val="BodyText"/>
      </w:pPr>
      <w:r>
        <w:t>The power control mechanism in Rel-15 introduced flexible signalling mechanisms for the pathloss reference RS: both SSBs and CSI-RS could be used. Both option 4 and option 5 introduce good enhancements to the CSI-RS configuration that would lead to streamlined use of CSI-RS as pathloss reference RS. However, the</w:t>
      </w:r>
      <w:r w:rsidR="009E7214">
        <w:t>re is no improvement for using SSB as a pathloss reference RS:</w:t>
      </w:r>
    </w:p>
    <w:p w14:paraId="17835984" w14:textId="380D6FAB" w:rsidR="009E7214" w:rsidRDefault="009E7214" w:rsidP="009E7214">
      <w:pPr>
        <w:pStyle w:val="Observation"/>
      </w:pPr>
      <w:bookmarkStart w:id="21" w:name="_Toc21098143"/>
      <w:r>
        <w:t>Option 4 and 5 do not lead to any signalling reduction when SSB is used as pathloss reference RS.</w:t>
      </w:r>
      <w:bookmarkEnd w:id="21"/>
    </w:p>
    <w:p w14:paraId="515DEFBC" w14:textId="77777777" w:rsidR="009E7214" w:rsidRDefault="009E7214" w:rsidP="009E7214">
      <w:pPr>
        <w:pStyle w:val="BodyText"/>
      </w:pPr>
      <w:r>
        <w:t>In option 2, it is proposed to add the pathloss reference RS in the spatial relation. Spatial relations are configured for SRS and PUCCH, but they are not configured (explicitly) for PUSCH. Introducing the pathloss reference RS in the spatial relation could not reduce the signalling for PUSCH power control:</w:t>
      </w:r>
    </w:p>
    <w:p w14:paraId="1F4CEBA7" w14:textId="23F27D7F" w:rsidR="009E7214" w:rsidRDefault="009E7214" w:rsidP="009E7214">
      <w:pPr>
        <w:pStyle w:val="Observation"/>
      </w:pPr>
      <w:bookmarkStart w:id="22" w:name="_Toc21098144"/>
      <w:r>
        <w:t>Option 2 does not lead to any signalling reduction for PUSCH power control.</w:t>
      </w:r>
      <w:bookmarkEnd w:id="22"/>
    </w:p>
    <w:p w14:paraId="1EBDD093" w14:textId="024263A6" w:rsidR="00C53DA8" w:rsidRDefault="00474494" w:rsidP="009E7214">
      <w:pPr>
        <w:pStyle w:val="BodyText"/>
      </w:pPr>
      <w:r>
        <w:t>This only leaves option 3</w:t>
      </w:r>
      <w:r w:rsidR="004A795C">
        <w:t>, as the only option that can handle all types of DL RS, all UL channels and allowing for a large enough number of signalled values.</w:t>
      </w:r>
      <w:r w:rsidR="00312A4E">
        <w:t xml:space="preserve"> However, with the note stating that the activation MAC CE is the MAC CE for ap-SRS/</w:t>
      </w:r>
      <w:proofErr w:type="spellStart"/>
      <w:r w:rsidR="00312A4E">
        <w:t>sp</w:t>
      </w:r>
      <w:proofErr w:type="spellEnd"/>
      <w:r w:rsidR="00312A4E">
        <w:t>-SRS activation, there is still no possibility to control the PUSCH power:</w:t>
      </w:r>
    </w:p>
    <w:p w14:paraId="7B0B417E" w14:textId="36C855D0" w:rsidR="00C53DA8" w:rsidRDefault="00C53DA8" w:rsidP="00C53DA8">
      <w:pPr>
        <w:pStyle w:val="Observation"/>
      </w:pPr>
      <w:bookmarkStart w:id="23" w:name="_Toc21098145"/>
      <w:r>
        <w:t xml:space="preserve">The MAC CE used to control the activation of ap-SRS and </w:t>
      </w:r>
      <w:proofErr w:type="spellStart"/>
      <w:r>
        <w:t>sp</w:t>
      </w:r>
      <w:proofErr w:type="spellEnd"/>
      <w:r>
        <w:t xml:space="preserve">-SRS cannot be </w:t>
      </w:r>
      <w:r w:rsidR="000C2C1F">
        <w:t>used</w:t>
      </w:r>
      <w:r>
        <w:t xml:space="preserve"> to control the transmit power of PUSCH.</w:t>
      </w:r>
      <w:bookmarkEnd w:id="23"/>
      <w:r>
        <w:t xml:space="preserve"> </w:t>
      </w:r>
    </w:p>
    <w:p w14:paraId="2D536B23" w14:textId="4A08415C" w:rsidR="00C53DA8" w:rsidRDefault="00C53DA8" w:rsidP="00C53DA8">
      <w:pPr>
        <w:pStyle w:val="BodyText"/>
      </w:pPr>
      <w:r>
        <w:t>Based on the above discussion, we propose</w:t>
      </w:r>
    </w:p>
    <w:p w14:paraId="6F91B744" w14:textId="74E238EB" w:rsidR="00C53DA8" w:rsidRDefault="00C53DA8" w:rsidP="00C53DA8">
      <w:pPr>
        <w:pStyle w:val="Proposal"/>
      </w:pPr>
      <w:bookmarkStart w:id="24" w:name="_Toc21098170"/>
      <w:r>
        <w:t>Define new MAC CE(s) to assign/activate the pathloss reference RS for PUSCH and SRS.</w:t>
      </w:r>
      <w:bookmarkEnd w:id="24"/>
    </w:p>
    <w:p w14:paraId="63B3B9CB" w14:textId="45CEF780" w:rsidR="00112432" w:rsidRDefault="00C53DA8" w:rsidP="00C53DA8">
      <w:pPr>
        <w:pStyle w:val="BodyText"/>
      </w:pPr>
      <w:r>
        <w:t xml:space="preserve">The details of the signalling </w:t>
      </w:r>
      <w:r w:rsidR="00125BEA">
        <w:t>are</w:t>
      </w:r>
      <w:r>
        <w:t xml:space="preserve"> left to RAN2:</w:t>
      </w:r>
    </w:p>
    <w:p w14:paraId="6B795B77" w14:textId="35F3BED6" w:rsidR="00041640" w:rsidRPr="00A27E09" w:rsidRDefault="00C53DA8" w:rsidP="00A27E09">
      <w:pPr>
        <w:pStyle w:val="Proposal"/>
      </w:pPr>
      <w:bookmarkStart w:id="25" w:name="_Toc21098171"/>
      <w:r>
        <w:t>The design of any MAC CE to assign/activate the pathloss reference RS for PUSCH and SRS is left to RAN2.</w:t>
      </w:r>
      <w:bookmarkEnd w:id="25"/>
    </w:p>
    <w:p w14:paraId="41117882" w14:textId="10551350" w:rsidR="00560E5D" w:rsidRDefault="00560E5D" w:rsidP="00560E5D">
      <w:pPr>
        <w:pStyle w:val="Heading3"/>
      </w:pPr>
      <w:r>
        <w:lastRenderedPageBreak/>
        <w:t>2.2</w:t>
      </w:r>
      <w:r>
        <w:tab/>
      </w:r>
      <w:r w:rsidR="009725EF">
        <w:t xml:space="preserve">Link recovery on </w:t>
      </w:r>
      <w:proofErr w:type="spellStart"/>
      <w:r w:rsidR="009725EF">
        <w:t>SCells</w:t>
      </w:r>
      <w:proofErr w:type="spellEnd"/>
    </w:p>
    <w:p w14:paraId="2A38C44C" w14:textId="42A36B96" w:rsidR="00C061C6" w:rsidRDefault="00C061C6" w:rsidP="00C061C6">
      <w:pPr>
        <w:pStyle w:val="BodyText"/>
      </w:pPr>
      <w:r>
        <w:t>RAN1#98, the following was agreed:</w:t>
      </w:r>
    </w:p>
    <w:p w14:paraId="31E35FBA" w14:textId="77777777" w:rsidR="00C061C6" w:rsidRDefault="00C061C6" w:rsidP="00C061C6">
      <w:pPr>
        <w:pStyle w:val="BodyText"/>
      </w:pPr>
      <w:r>
        <w:rPr>
          <w:noProof/>
        </w:rPr>
        <mc:AlternateContent>
          <mc:Choice Requires="wps">
            <w:drawing>
              <wp:inline distT="0" distB="0" distL="0" distR="0" wp14:anchorId="7ADC1E5C" wp14:editId="6985ADAD">
                <wp:extent cx="6096000" cy="1752600"/>
                <wp:effectExtent l="0" t="0" r="19050" b="20955"/>
                <wp:docPr id="3" name="Text Box 3"/>
                <wp:cNvGraphicFramePr/>
                <a:graphic xmlns:a="http://schemas.openxmlformats.org/drawingml/2006/main">
                  <a:graphicData uri="http://schemas.microsoft.com/office/word/2010/wordprocessingShape">
                    <wps:wsp>
                      <wps:cNvSpPr txBox="1"/>
                      <wps:spPr>
                        <a:xfrm>
                          <a:off x="0" y="0"/>
                          <a:ext cx="6096000" cy="1752600"/>
                        </a:xfrm>
                        <a:prstGeom prst="rect">
                          <a:avLst/>
                        </a:prstGeom>
                        <a:solidFill>
                          <a:schemeClr val="lt1"/>
                        </a:solidFill>
                        <a:ln w="6350">
                          <a:solidFill>
                            <a:prstClr val="black"/>
                          </a:solidFill>
                        </a:ln>
                      </wps:spPr>
                      <wps:txbx>
                        <w:txbxContent>
                          <w:p w14:paraId="27771632" w14:textId="77777777" w:rsidR="00384AC2" w:rsidRPr="00C061C6" w:rsidRDefault="00384AC2" w:rsidP="00C061C6">
                            <w:pPr>
                              <w:rPr>
                                <w:b/>
                                <w:bCs/>
                                <w:sz w:val="22"/>
                                <w:szCs w:val="22"/>
                                <w:highlight w:val="green"/>
                                <w:lang w:eastAsia="x-none"/>
                              </w:rPr>
                            </w:pPr>
                            <w:r w:rsidRPr="00C061C6">
                              <w:rPr>
                                <w:b/>
                                <w:bCs/>
                                <w:sz w:val="22"/>
                                <w:szCs w:val="22"/>
                                <w:highlight w:val="green"/>
                                <w:lang w:eastAsia="x-none"/>
                              </w:rPr>
                              <w:t>Agreement</w:t>
                            </w:r>
                          </w:p>
                          <w:p w14:paraId="1E9B540F" w14:textId="77777777" w:rsidR="00384AC2" w:rsidRPr="00C061C6" w:rsidRDefault="00384AC2" w:rsidP="00C061C6">
                            <w:pPr>
                              <w:pStyle w:val="0Maintext"/>
                              <w:spacing w:after="0" w:afterAutospacing="0" w:line="240" w:lineRule="auto"/>
                              <w:ind w:firstLine="0"/>
                              <w:rPr>
                                <w:rFonts w:cs="Times New Roman"/>
                                <w:sz w:val="22"/>
                                <w:szCs w:val="22"/>
                                <w:lang w:val="en-US"/>
                              </w:rPr>
                            </w:pPr>
                            <w:r w:rsidRPr="00C061C6">
                              <w:rPr>
                                <w:rFonts w:cs="Times New Roman"/>
                                <w:sz w:val="22"/>
                                <w:szCs w:val="22"/>
                                <w:lang w:val="en-US"/>
                              </w:rPr>
                              <w:t>For SCell with both UL and DL, at least reuse the same BFRQ procedure as SCell with DL only.</w:t>
                            </w:r>
                          </w:p>
                          <w:p w14:paraId="47F47966" w14:textId="77777777" w:rsidR="00384AC2" w:rsidRPr="00C061C6" w:rsidRDefault="00384AC2" w:rsidP="00C061C6">
                            <w:pPr>
                              <w:pStyle w:val="0Maintext"/>
                              <w:numPr>
                                <w:ilvl w:val="0"/>
                                <w:numId w:val="23"/>
                              </w:numPr>
                              <w:spacing w:after="0" w:afterAutospacing="0" w:line="240" w:lineRule="auto"/>
                              <w:rPr>
                                <w:rFonts w:cs="Times New Roman"/>
                                <w:sz w:val="22"/>
                                <w:szCs w:val="22"/>
                                <w:lang w:val="en-US"/>
                              </w:rPr>
                            </w:pPr>
                            <w:r w:rsidRPr="00C061C6">
                              <w:rPr>
                                <w:rFonts w:cs="Times New Roman"/>
                                <w:sz w:val="22"/>
                                <w:szCs w:val="22"/>
                                <w:lang w:val="en-US"/>
                              </w:rPr>
                              <w:t>Note: Whether to support CBRA/CFRA based BFRQ for both scenarios is a separate issue.</w:t>
                            </w:r>
                          </w:p>
                          <w:p w14:paraId="08E20F81" w14:textId="77777777" w:rsidR="00384AC2" w:rsidRPr="00C061C6" w:rsidRDefault="00384AC2" w:rsidP="00C061C6">
                            <w:pPr>
                              <w:pStyle w:val="0Maintext"/>
                              <w:numPr>
                                <w:ilvl w:val="0"/>
                                <w:numId w:val="23"/>
                              </w:numPr>
                              <w:spacing w:after="0" w:afterAutospacing="0" w:line="240" w:lineRule="auto"/>
                              <w:rPr>
                                <w:rFonts w:cs="Times New Roman"/>
                                <w:sz w:val="22"/>
                                <w:szCs w:val="22"/>
                                <w:lang w:val="en-US"/>
                              </w:rPr>
                            </w:pPr>
                            <w:r w:rsidRPr="00C061C6">
                              <w:rPr>
                                <w:rFonts w:cs="Times New Roman"/>
                                <w:sz w:val="22"/>
                                <w:szCs w:val="22"/>
                                <w:lang w:val="en-US"/>
                              </w:rPr>
                              <w:t xml:space="preserve">Note: At least from RAN1 perspective, there is no need for introducing restrictions on MAC CE transmission for BFR in Rel-16 </w:t>
                            </w:r>
                          </w:p>
                          <w:p w14:paraId="63798C59" w14:textId="77777777" w:rsidR="00384AC2" w:rsidRPr="00C061C6" w:rsidRDefault="00384AC2" w:rsidP="00C061C6">
                            <w:pPr>
                              <w:pStyle w:val="0Maintext"/>
                              <w:numPr>
                                <w:ilvl w:val="0"/>
                                <w:numId w:val="23"/>
                              </w:numPr>
                              <w:spacing w:after="0" w:afterAutospacing="0" w:line="240" w:lineRule="auto"/>
                              <w:rPr>
                                <w:rFonts w:cs="Times New Roman"/>
                                <w:sz w:val="22"/>
                                <w:szCs w:val="22"/>
                                <w:lang w:val="en-US"/>
                              </w:rPr>
                            </w:pPr>
                            <w:r w:rsidRPr="00C061C6">
                              <w:rPr>
                                <w:rFonts w:cs="Times New Roman"/>
                                <w:sz w:val="22"/>
                                <w:szCs w:val="22"/>
                                <w:lang w:val="en-US"/>
                              </w:rPr>
                              <w:t xml:space="preserve">FFS: Whether PUCCH-BFR can be configured on </w:t>
                            </w:r>
                            <w:proofErr w:type="spellStart"/>
                            <w:r w:rsidRPr="00C061C6">
                              <w:rPr>
                                <w:rFonts w:cs="Times New Roman"/>
                                <w:sz w:val="22"/>
                                <w:szCs w:val="22"/>
                                <w:lang w:val="en-US"/>
                              </w:rPr>
                              <w:t>SCells</w:t>
                            </w:r>
                            <w:proofErr w:type="spellEnd"/>
                          </w:p>
                          <w:p w14:paraId="7AB2C07C" w14:textId="490A0CEC" w:rsidR="00384AC2" w:rsidRPr="00C061C6" w:rsidRDefault="00384AC2" w:rsidP="00C061C6">
                            <w:pPr>
                              <w:overflowPunct/>
                              <w:autoSpaceDE/>
                              <w:autoSpaceDN/>
                              <w:snapToGrid w:val="0"/>
                              <w:spacing w:after="0"/>
                              <w:contextualSpacing/>
                              <w:textAlignment w:val="auto"/>
                              <w:rPr>
                                <w:bCs/>
                                <w:sz w:val="22"/>
                                <w:szCs w:val="22"/>
                                <w:lang w:val="en-US"/>
                              </w:rPr>
                            </w:pPr>
                          </w:p>
                          <w:p w14:paraId="228026CE" w14:textId="77777777" w:rsidR="00384AC2" w:rsidRPr="00C061C6" w:rsidRDefault="00384AC2" w:rsidP="00C061C6">
                            <w:pPr>
                              <w:rPr>
                                <w:b/>
                                <w:bCs/>
                                <w:sz w:val="22"/>
                                <w:szCs w:val="22"/>
                                <w:highlight w:val="green"/>
                                <w:lang w:val="en-US" w:eastAsia="x-none"/>
                              </w:rPr>
                            </w:pPr>
                            <w:r w:rsidRPr="00C061C6">
                              <w:rPr>
                                <w:b/>
                                <w:bCs/>
                                <w:sz w:val="22"/>
                                <w:szCs w:val="22"/>
                                <w:highlight w:val="green"/>
                                <w:lang w:val="en-US" w:eastAsia="x-none"/>
                              </w:rPr>
                              <w:t>Agreement</w:t>
                            </w:r>
                          </w:p>
                          <w:p w14:paraId="295D7A17" w14:textId="77777777" w:rsidR="00384AC2" w:rsidRPr="00C061C6" w:rsidRDefault="00384AC2" w:rsidP="00C061C6">
                            <w:pPr>
                              <w:pStyle w:val="0Maintext"/>
                              <w:spacing w:after="0" w:afterAutospacing="0" w:line="240" w:lineRule="auto"/>
                              <w:ind w:firstLine="0"/>
                              <w:rPr>
                                <w:rFonts w:cs="Times New Roman"/>
                                <w:sz w:val="22"/>
                                <w:szCs w:val="22"/>
                                <w:lang w:val="en-US"/>
                              </w:rPr>
                            </w:pPr>
                            <w:r w:rsidRPr="00C061C6">
                              <w:rPr>
                                <w:rFonts w:cs="Times New Roman"/>
                                <w:sz w:val="22"/>
                                <w:szCs w:val="22"/>
                                <w:lang w:val="en-US"/>
                              </w:rPr>
                              <w:t>Support PUCCH-BFR to be configured by either one of PUCCH format 0 and PUCCH format 1</w:t>
                            </w:r>
                          </w:p>
                          <w:p w14:paraId="02218240" w14:textId="77777777" w:rsidR="00384AC2" w:rsidRPr="00C061C6" w:rsidRDefault="00384AC2" w:rsidP="00C061C6">
                            <w:pPr>
                              <w:pStyle w:val="0Maintext"/>
                              <w:numPr>
                                <w:ilvl w:val="0"/>
                                <w:numId w:val="25"/>
                              </w:numPr>
                              <w:spacing w:after="0" w:afterAutospacing="0" w:line="240" w:lineRule="auto"/>
                              <w:rPr>
                                <w:rFonts w:cs="Times New Roman"/>
                                <w:sz w:val="22"/>
                                <w:szCs w:val="22"/>
                                <w:lang w:val="en-US"/>
                              </w:rPr>
                            </w:pPr>
                            <w:r w:rsidRPr="00C061C6">
                              <w:rPr>
                                <w:rFonts w:cs="Times New Roman"/>
                                <w:sz w:val="22"/>
                                <w:szCs w:val="22"/>
                                <w:lang w:val="en-US"/>
                              </w:rPr>
                              <w:t>FFS: details when PUCCH-BFR transmission is to be made in the same slot with other uplink signal(s).</w:t>
                            </w:r>
                          </w:p>
                          <w:p w14:paraId="219E845D" w14:textId="58E64FC4" w:rsidR="00384AC2" w:rsidRPr="00C061C6" w:rsidRDefault="00384AC2" w:rsidP="00C061C6">
                            <w:pPr>
                              <w:overflowPunct/>
                              <w:autoSpaceDE/>
                              <w:autoSpaceDN/>
                              <w:snapToGrid w:val="0"/>
                              <w:spacing w:after="0"/>
                              <w:contextualSpacing/>
                              <w:textAlignment w:val="auto"/>
                              <w:rPr>
                                <w:bCs/>
                                <w:sz w:val="22"/>
                                <w:szCs w:val="22"/>
                                <w:lang w:val="en-US"/>
                              </w:rPr>
                            </w:pPr>
                          </w:p>
                          <w:p w14:paraId="0352E933" w14:textId="77777777" w:rsidR="00384AC2" w:rsidRPr="00C061C6" w:rsidRDefault="00384AC2" w:rsidP="00C061C6">
                            <w:pPr>
                              <w:rPr>
                                <w:b/>
                                <w:bCs/>
                                <w:sz w:val="22"/>
                                <w:szCs w:val="22"/>
                                <w:highlight w:val="green"/>
                                <w:lang w:val="en-US" w:eastAsia="x-none"/>
                              </w:rPr>
                            </w:pPr>
                            <w:r w:rsidRPr="00C061C6">
                              <w:rPr>
                                <w:b/>
                                <w:bCs/>
                                <w:sz w:val="22"/>
                                <w:szCs w:val="22"/>
                                <w:highlight w:val="green"/>
                                <w:lang w:val="en-US" w:eastAsia="x-none"/>
                              </w:rPr>
                              <w:t>Agreement</w:t>
                            </w:r>
                          </w:p>
                          <w:p w14:paraId="1EC8EDA5" w14:textId="77777777" w:rsidR="00384AC2" w:rsidRPr="00C061C6" w:rsidRDefault="00384AC2" w:rsidP="00C061C6">
                            <w:pPr>
                              <w:rPr>
                                <w:sz w:val="22"/>
                                <w:szCs w:val="22"/>
                                <w:lang w:val="en-US" w:eastAsia="x-none"/>
                              </w:rPr>
                            </w:pPr>
                            <w:r w:rsidRPr="00C061C6">
                              <w:rPr>
                                <w:sz w:val="22"/>
                                <w:szCs w:val="22"/>
                                <w:lang w:val="en-US" w:eastAsia="x-none"/>
                              </w:rPr>
                              <w:t>RAN1 will conclude on the following issue in RAN1#98bis</w:t>
                            </w:r>
                          </w:p>
                          <w:p w14:paraId="168EE77A" w14:textId="5781535E" w:rsidR="00384AC2" w:rsidRPr="00C061C6" w:rsidRDefault="00384AC2" w:rsidP="00C061C6">
                            <w:pPr>
                              <w:pStyle w:val="Header"/>
                              <w:rPr>
                                <w:rFonts w:ascii="Times New Roman" w:hAnsi="Times New Roman"/>
                                <w:b w:val="0"/>
                                <w:sz w:val="22"/>
                                <w:szCs w:val="22"/>
                                <w:lang w:val="en-US"/>
                              </w:rPr>
                            </w:pPr>
                            <w:r w:rsidRPr="00C061C6">
                              <w:rPr>
                                <w:rFonts w:ascii="Times New Roman" w:hAnsi="Times New Roman"/>
                                <w:b w:val="0"/>
                                <w:sz w:val="22"/>
                                <w:szCs w:val="22"/>
                                <w:lang w:val="en-US"/>
                              </w:rPr>
                              <w:t>Q3:</w:t>
                            </w:r>
                            <w:r w:rsidRPr="00C061C6">
                              <w:rPr>
                                <w:rFonts w:ascii="Times New Roman" w:hAnsi="Times New Roman"/>
                                <w:sz w:val="22"/>
                                <w:szCs w:val="22"/>
                                <w:lang w:val="en-US"/>
                              </w:rPr>
                              <w:t xml:space="preserve"> </w:t>
                            </w:r>
                            <w:r w:rsidRPr="00C061C6">
                              <w:rPr>
                                <w:rFonts w:ascii="Times New Roman" w:hAnsi="Times New Roman"/>
                                <w:b w:val="0"/>
                                <w:sz w:val="22"/>
                                <w:szCs w:val="22"/>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DC1E5C" id="Text Box 3" o:spid="_x0000_s1030" type="#_x0000_t202" style="width:480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" fillcolor="white [3201]" strokeweight=".5pt">
                <v:textbox style="mso-fit-shape-to-text:t">
                  <w:txbxContent>
                    <w:p w14:paraId="27771632" w14:textId="77777777" w:rsidR="00384AC2" w:rsidRPr="00C061C6" w:rsidRDefault="00384AC2" w:rsidP="00C061C6">
                      <w:pPr>
                        <w:rPr>
                          <w:b/>
                          <w:bCs/>
                          <w:sz w:val="22"/>
                          <w:szCs w:val="22"/>
                          <w:highlight w:val="green"/>
                          <w:lang w:eastAsia="x-none"/>
                        </w:rPr>
                      </w:pPr>
                      <w:r w:rsidRPr="00C061C6">
                        <w:rPr>
                          <w:b/>
                          <w:bCs/>
                          <w:sz w:val="22"/>
                          <w:szCs w:val="22"/>
                          <w:highlight w:val="green"/>
                          <w:lang w:eastAsia="x-none"/>
                        </w:rPr>
                        <w:t>Agreement</w:t>
                      </w:r>
                    </w:p>
                    <w:p w14:paraId="1E9B540F" w14:textId="77777777" w:rsidR="00384AC2" w:rsidRPr="00C061C6" w:rsidRDefault="00384AC2" w:rsidP="00C061C6">
                      <w:pPr>
                        <w:pStyle w:val="0Maintext"/>
                        <w:spacing w:after="0" w:afterAutospacing="0" w:line="240" w:lineRule="auto"/>
                        <w:ind w:firstLine="0"/>
                        <w:rPr>
                          <w:rFonts w:cs="Times New Roman"/>
                          <w:sz w:val="22"/>
                          <w:szCs w:val="22"/>
                          <w:lang w:val="en-US"/>
                        </w:rPr>
                      </w:pPr>
                      <w:r w:rsidRPr="00C061C6">
                        <w:rPr>
                          <w:rFonts w:cs="Times New Roman"/>
                          <w:sz w:val="22"/>
                          <w:szCs w:val="22"/>
                          <w:lang w:val="en-US"/>
                        </w:rPr>
                        <w:t>For SCell with both UL and DL, at least reuse the same BFRQ procedure as SCell with DL only.</w:t>
                      </w:r>
                    </w:p>
                    <w:p w14:paraId="47F47966" w14:textId="77777777" w:rsidR="00384AC2" w:rsidRPr="00C061C6" w:rsidRDefault="00384AC2" w:rsidP="00C061C6">
                      <w:pPr>
                        <w:pStyle w:val="0Maintext"/>
                        <w:numPr>
                          <w:ilvl w:val="0"/>
                          <w:numId w:val="23"/>
                        </w:numPr>
                        <w:spacing w:after="0" w:afterAutospacing="0" w:line="240" w:lineRule="auto"/>
                        <w:rPr>
                          <w:rFonts w:cs="Times New Roman"/>
                          <w:sz w:val="22"/>
                          <w:szCs w:val="22"/>
                          <w:lang w:val="en-US"/>
                        </w:rPr>
                      </w:pPr>
                      <w:r w:rsidRPr="00C061C6">
                        <w:rPr>
                          <w:rFonts w:cs="Times New Roman"/>
                          <w:sz w:val="22"/>
                          <w:szCs w:val="22"/>
                          <w:lang w:val="en-US"/>
                        </w:rPr>
                        <w:t>Note: Whether to support CBRA/CFRA based BFRQ for both scenarios is a separate issue.</w:t>
                      </w:r>
                    </w:p>
                    <w:p w14:paraId="08E20F81" w14:textId="77777777" w:rsidR="00384AC2" w:rsidRPr="00C061C6" w:rsidRDefault="00384AC2" w:rsidP="00C061C6">
                      <w:pPr>
                        <w:pStyle w:val="0Maintext"/>
                        <w:numPr>
                          <w:ilvl w:val="0"/>
                          <w:numId w:val="23"/>
                        </w:numPr>
                        <w:spacing w:after="0" w:afterAutospacing="0" w:line="240" w:lineRule="auto"/>
                        <w:rPr>
                          <w:rFonts w:cs="Times New Roman"/>
                          <w:sz w:val="22"/>
                          <w:szCs w:val="22"/>
                          <w:lang w:val="en-US"/>
                        </w:rPr>
                      </w:pPr>
                      <w:r w:rsidRPr="00C061C6">
                        <w:rPr>
                          <w:rFonts w:cs="Times New Roman"/>
                          <w:sz w:val="22"/>
                          <w:szCs w:val="22"/>
                          <w:lang w:val="en-US"/>
                        </w:rPr>
                        <w:t xml:space="preserve">Note: At least from RAN1 perspective, there is no need for introducing restrictions on MAC CE transmission for BFR in Rel-16 </w:t>
                      </w:r>
                    </w:p>
                    <w:p w14:paraId="63798C59" w14:textId="77777777" w:rsidR="00384AC2" w:rsidRPr="00C061C6" w:rsidRDefault="00384AC2" w:rsidP="00C061C6">
                      <w:pPr>
                        <w:pStyle w:val="0Maintext"/>
                        <w:numPr>
                          <w:ilvl w:val="0"/>
                          <w:numId w:val="23"/>
                        </w:numPr>
                        <w:spacing w:after="0" w:afterAutospacing="0" w:line="240" w:lineRule="auto"/>
                        <w:rPr>
                          <w:rFonts w:cs="Times New Roman"/>
                          <w:sz w:val="22"/>
                          <w:szCs w:val="22"/>
                          <w:lang w:val="en-US"/>
                        </w:rPr>
                      </w:pPr>
                      <w:r w:rsidRPr="00C061C6">
                        <w:rPr>
                          <w:rFonts w:cs="Times New Roman"/>
                          <w:sz w:val="22"/>
                          <w:szCs w:val="22"/>
                          <w:lang w:val="en-US"/>
                        </w:rPr>
                        <w:t xml:space="preserve">FFS: Whether PUCCH-BFR can be configured on </w:t>
                      </w:r>
                      <w:proofErr w:type="spellStart"/>
                      <w:r w:rsidRPr="00C061C6">
                        <w:rPr>
                          <w:rFonts w:cs="Times New Roman"/>
                          <w:sz w:val="22"/>
                          <w:szCs w:val="22"/>
                          <w:lang w:val="en-US"/>
                        </w:rPr>
                        <w:t>SCells</w:t>
                      </w:r>
                      <w:proofErr w:type="spellEnd"/>
                    </w:p>
                    <w:p w14:paraId="7AB2C07C" w14:textId="490A0CEC" w:rsidR="00384AC2" w:rsidRPr="00C061C6" w:rsidRDefault="00384AC2" w:rsidP="00C061C6">
                      <w:pPr>
                        <w:overflowPunct/>
                        <w:autoSpaceDE/>
                        <w:autoSpaceDN/>
                        <w:snapToGrid w:val="0"/>
                        <w:spacing w:after="0"/>
                        <w:contextualSpacing/>
                        <w:textAlignment w:val="auto"/>
                        <w:rPr>
                          <w:bCs/>
                          <w:sz w:val="22"/>
                          <w:szCs w:val="22"/>
                          <w:lang w:val="en-US"/>
                        </w:rPr>
                      </w:pPr>
                    </w:p>
                    <w:p w14:paraId="228026CE" w14:textId="77777777" w:rsidR="00384AC2" w:rsidRPr="00C061C6" w:rsidRDefault="00384AC2" w:rsidP="00C061C6">
                      <w:pPr>
                        <w:rPr>
                          <w:b/>
                          <w:bCs/>
                          <w:sz w:val="22"/>
                          <w:szCs w:val="22"/>
                          <w:highlight w:val="green"/>
                          <w:lang w:val="en-US" w:eastAsia="x-none"/>
                        </w:rPr>
                      </w:pPr>
                      <w:r w:rsidRPr="00C061C6">
                        <w:rPr>
                          <w:b/>
                          <w:bCs/>
                          <w:sz w:val="22"/>
                          <w:szCs w:val="22"/>
                          <w:highlight w:val="green"/>
                          <w:lang w:val="en-US" w:eastAsia="x-none"/>
                        </w:rPr>
                        <w:t>Agreement</w:t>
                      </w:r>
                    </w:p>
                    <w:p w14:paraId="295D7A17" w14:textId="77777777" w:rsidR="00384AC2" w:rsidRPr="00C061C6" w:rsidRDefault="00384AC2" w:rsidP="00C061C6">
                      <w:pPr>
                        <w:pStyle w:val="0Maintext"/>
                        <w:spacing w:after="0" w:afterAutospacing="0" w:line="240" w:lineRule="auto"/>
                        <w:ind w:firstLine="0"/>
                        <w:rPr>
                          <w:rFonts w:cs="Times New Roman"/>
                          <w:sz w:val="22"/>
                          <w:szCs w:val="22"/>
                          <w:lang w:val="en-US"/>
                        </w:rPr>
                      </w:pPr>
                      <w:r w:rsidRPr="00C061C6">
                        <w:rPr>
                          <w:rFonts w:cs="Times New Roman"/>
                          <w:sz w:val="22"/>
                          <w:szCs w:val="22"/>
                          <w:lang w:val="en-US"/>
                        </w:rPr>
                        <w:t>Support PUCCH-BFR to be configured by either one of PUCCH format 0 and PUCCH format 1</w:t>
                      </w:r>
                    </w:p>
                    <w:p w14:paraId="02218240" w14:textId="77777777" w:rsidR="00384AC2" w:rsidRPr="00C061C6" w:rsidRDefault="00384AC2" w:rsidP="00C061C6">
                      <w:pPr>
                        <w:pStyle w:val="0Maintext"/>
                        <w:numPr>
                          <w:ilvl w:val="0"/>
                          <w:numId w:val="25"/>
                        </w:numPr>
                        <w:spacing w:after="0" w:afterAutospacing="0" w:line="240" w:lineRule="auto"/>
                        <w:rPr>
                          <w:rFonts w:cs="Times New Roman"/>
                          <w:sz w:val="22"/>
                          <w:szCs w:val="22"/>
                          <w:lang w:val="en-US"/>
                        </w:rPr>
                      </w:pPr>
                      <w:r w:rsidRPr="00C061C6">
                        <w:rPr>
                          <w:rFonts w:cs="Times New Roman"/>
                          <w:sz w:val="22"/>
                          <w:szCs w:val="22"/>
                          <w:lang w:val="en-US"/>
                        </w:rPr>
                        <w:t>FFS: details when PUCCH-BFR transmission is to be made in the same slot with other uplink signal(s).</w:t>
                      </w:r>
                    </w:p>
                    <w:p w14:paraId="219E845D" w14:textId="58E64FC4" w:rsidR="00384AC2" w:rsidRPr="00C061C6" w:rsidRDefault="00384AC2" w:rsidP="00C061C6">
                      <w:pPr>
                        <w:overflowPunct/>
                        <w:autoSpaceDE/>
                        <w:autoSpaceDN/>
                        <w:snapToGrid w:val="0"/>
                        <w:spacing w:after="0"/>
                        <w:contextualSpacing/>
                        <w:textAlignment w:val="auto"/>
                        <w:rPr>
                          <w:bCs/>
                          <w:sz w:val="22"/>
                          <w:szCs w:val="22"/>
                          <w:lang w:val="en-US"/>
                        </w:rPr>
                      </w:pPr>
                    </w:p>
                    <w:p w14:paraId="0352E933" w14:textId="77777777" w:rsidR="00384AC2" w:rsidRPr="00C061C6" w:rsidRDefault="00384AC2" w:rsidP="00C061C6">
                      <w:pPr>
                        <w:rPr>
                          <w:b/>
                          <w:bCs/>
                          <w:sz w:val="22"/>
                          <w:szCs w:val="22"/>
                          <w:highlight w:val="green"/>
                          <w:lang w:val="en-US" w:eastAsia="x-none"/>
                        </w:rPr>
                      </w:pPr>
                      <w:r w:rsidRPr="00C061C6">
                        <w:rPr>
                          <w:b/>
                          <w:bCs/>
                          <w:sz w:val="22"/>
                          <w:szCs w:val="22"/>
                          <w:highlight w:val="green"/>
                          <w:lang w:val="en-US" w:eastAsia="x-none"/>
                        </w:rPr>
                        <w:t>Agreement</w:t>
                      </w:r>
                    </w:p>
                    <w:p w14:paraId="1EC8EDA5" w14:textId="77777777" w:rsidR="00384AC2" w:rsidRPr="00C061C6" w:rsidRDefault="00384AC2" w:rsidP="00C061C6">
                      <w:pPr>
                        <w:rPr>
                          <w:sz w:val="22"/>
                          <w:szCs w:val="22"/>
                          <w:lang w:val="en-US" w:eastAsia="x-none"/>
                        </w:rPr>
                      </w:pPr>
                      <w:r w:rsidRPr="00C061C6">
                        <w:rPr>
                          <w:sz w:val="22"/>
                          <w:szCs w:val="22"/>
                          <w:lang w:val="en-US" w:eastAsia="x-none"/>
                        </w:rPr>
                        <w:t>RAN1 will conclude on the following issue in RAN1#98bis</w:t>
                      </w:r>
                    </w:p>
                    <w:p w14:paraId="168EE77A" w14:textId="5781535E" w:rsidR="00384AC2" w:rsidRPr="00C061C6" w:rsidRDefault="00384AC2" w:rsidP="00C061C6">
                      <w:pPr>
                        <w:pStyle w:val="Header"/>
                        <w:rPr>
                          <w:rFonts w:ascii="Times New Roman" w:hAnsi="Times New Roman"/>
                          <w:b w:val="0"/>
                          <w:sz w:val="22"/>
                          <w:szCs w:val="22"/>
                          <w:lang w:val="en-US"/>
                        </w:rPr>
                      </w:pPr>
                      <w:r w:rsidRPr="00C061C6">
                        <w:rPr>
                          <w:rFonts w:ascii="Times New Roman" w:hAnsi="Times New Roman"/>
                          <w:b w:val="0"/>
                          <w:sz w:val="22"/>
                          <w:szCs w:val="22"/>
                          <w:lang w:val="en-US"/>
                        </w:rPr>
                        <w:t>Q3:</w:t>
                      </w:r>
                      <w:r w:rsidRPr="00C061C6">
                        <w:rPr>
                          <w:rFonts w:ascii="Times New Roman" w:hAnsi="Times New Roman"/>
                          <w:sz w:val="22"/>
                          <w:szCs w:val="22"/>
                          <w:lang w:val="en-US"/>
                        </w:rPr>
                        <w:t xml:space="preserve"> </w:t>
                      </w:r>
                      <w:r w:rsidRPr="00C061C6">
                        <w:rPr>
                          <w:rFonts w:ascii="Times New Roman" w:hAnsi="Times New Roman"/>
                          <w:b w:val="0"/>
                          <w:sz w:val="22"/>
                          <w:szCs w:val="22"/>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txbxContent>
                </v:textbox>
                <w10:anchorlock/>
              </v:shape>
            </w:pict>
          </mc:Fallback>
        </mc:AlternateContent>
      </w:r>
    </w:p>
    <w:p w14:paraId="302EE864" w14:textId="77777777" w:rsidR="004A2BFD" w:rsidRDefault="004A2BFD" w:rsidP="00C061C6">
      <w:pPr>
        <w:pStyle w:val="BodyText"/>
      </w:pPr>
      <w:r>
        <w:t>The agreed procedure for SCell BFR consists of the following steps</w:t>
      </w:r>
    </w:p>
    <w:p w14:paraId="752353AA" w14:textId="6F99C1FF" w:rsidR="004A2BFD" w:rsidRDefault="004A2BFD" w:rsidP="004A2BFD">
      <w:pPr>
        <w:pStyle w:val="BodyText"/>
        <w:numPr>
          <w:ilvl w:val="0"/>
          <w:numId w:val="26"/>
        </w:numPr>
      </w:pPr>
      <w:r>
        <w:t>Beam failure detection is performed on a certain SCell</w:t>
      </w:r>
    </w:p>
    <w:p w14:paraId="01CF1FE7" w14:textId="404F9B9F" w:rsidR="004A2BFD" w:rsidRDefault="004A2BFD" w:rsidP="004A2BFD">
      <w:pPr>
        <w:pStyle w:val="BodyText"/>
        <w:numPr>
          <w:ilvl w:val="0"/>
          <w:numId w:val="26"/>
        </w:numPr>
      </w:pPr>
      <w:r>
        <w:t xml:space="preserve">When beam failure is detected, the UE may use at least a dedicated PUCCH to request UL resources </w:t>
      </w:r>
    </w:p>
    <w:p w14:paraId="4911FACD" w14:textId="1C64AB53" w:rsidR="004A2BFD" w:rsidRDefault="004A2BFD" w:rsidP="004A2BFD">
      <w:pPr>
        <w:pStyle w:val="BodyText"/>
        <w:numPr>
          <w:ilvl w:val="0"/>
          <w:numId w:val="26"/>
        </w:numPr>
      </w:pPr>
      <w:r>
        <w:t>MAC CE is used to deliver the information about which SCell failed, and a potential new beam</w:t>
      </w:r>
    </w:p>
    <w:p w14:paraId="5D0D5A49" w14:textId="62C8AECE" w:rsidR="004A2BFD" w:rsidRDefault="004A2BFD" w:rsidP="004A2BFD">
      <w:pPr>
        <w:pStyle w:val="BodyText"/>
      </w:pPr>
      <w:r>
        <w:t xml:space="preserve">The above procedure was designed for DL-only </w:t>
      </w:r>
      <w:proofErr w:type="spellStart"/>
      <w:r w:rsidR="00843837">
        <w:t>SCells</w:t>
      </w:r>
      <w:proofErr w:type="spellEnd"/>
      <w:r w:rsidR="00843837">
        <w:t xml:space="preserve"> but</w:t>
      </w:r>
      <w:r>
        <w:t xml:space="preserve"> works for all scenarios mentioned in </w:t>
      </w:r>
      <w:r>
        <w:fldChar w:fldCharType="begin"/>
      </w:r>
      <w:r>
        <w:instrText xml:space="preserve"> REF _Ref20812105 \r \h </w:instrText>
      </w:r>
      <w:r>
        <w:fldChar w:fldCharType="separate"/>
      </w:r>
      <w:r w:rsidR="00104470">
        <w:t>[1]</w:t>
      </w:r>
      <w:r>
        <w:fldChar w:fldCharType="end"/>
      </w:r>
      <w:r>
        <w:t>. As there are only two meetings left for Rel-16, there is no time to agree on an additional procedure. Also, the merits of another SCell BFR solution are unknown</w:t>
      </w:r>
      <w:proofErr w:type="gramStart"/>
      <w:r w:rsidR="009B3E52">
        <w:t xml:space="preserve">. </w:t>
      </w:r>
      <w:proofErr w:type="gramEnd"/>
      <w:r w:rsidR="009B3E52">
        <w:t xml:space="preserve">Even if a separate procedure designed for UL/DL </w:t>
      </w:r>
      <w:proofErr w:type="spellStart"/>
      <w:r w:rsidR="009B3E52">
        <w:t>SCells</w:t>
      </w:r>
      <w:proofErr w:type="spellEnd"/>
      <w:r w:rsidR="009B3E52">
        <w:t xml:space="preserve"> would provide better </w:t>
      </w:r>
      <w:proofErr w:type="spellStart"/>
      <w:proofErr w:type="gramStart"/>
      <w:r w:rsidR="009B3E52">
        <w:t>performance,</w:t>
      </w:r>
      <w:r w:rsidR="00641E4E">
        <w:t>remember</w:t>
      </w:r>
      <w:proofErr w:type="spellEnd"/>
      <w:proofErr w:type="gramEnd"/>
      <w:r w:rsidR="00641E4E">
        <w:t xml:space="preserve"> that handling of failure cases </w:t>
      </w:r>
      <w:r w:rsidR="001B5463">
        <w:t xml:space="preserve">is </w:t>
      </w:r>
      <w:r w:rsidR="00641E4E">
        <w:t xml:space="preserve">typically </w:t>
      </w:r>
      <w:r w:rsidR="001B5463">
        <w:t xml:space="preserve">not </w:t>
      </w:r>
      <w:r w:rsidR="00641E4E">
        <w:t>optimized. Based on this, we propose</w:t>
      </w:r>
    </w:p>
    <w:p w14:paraId="0DDB5C24" w14:textId="0B10E2FF" w:rsidR="00641E4E" w:rsidRPr="00A27E09" w:rsidRDefault="00641E4E" w:rsidP="00641E4E">
      <w:pPr>
        <w:pStyle w:val="Proposal"/>
      </w:pPr>
      <w:bookmarkStart w:id="26" w:name="_Toc21098172"/>
      <w:r>
        <w:t>The agreed solution based on PUCCH and MAC CE is the only solution for SCell BFR.</w:t>
      </w:r>
      <w:bookmarkEnd w:id="26"/>
    </w:p>
    <w:p w14:paraId="577EFA65" w14:textId="47E6F199" w:rsidR="00641E4E" w:rsidRDefault="00641E4E" w:rsidP="004A2BFD">
      <w:pPr>
        <w:pStyle w:val="BodyText"/>
      </w:pPr>
      <w:r>
        <w:t xml:space="preserve">In the agreement, there was an FFS on whether PUCCH-BFR can be configured on </w:t>
      </w:r>
      <w:proofErr w:type="spellStart"/>
      <w:r>
        <w:t>SCells</w:t>
      </w:r>
      <w:proofErr w:type="spellEnd"/>
      <w:r>
        <w:t xml:space="preserve">. Here we do not see any reason to forbid that configuration: SR capacity can be a bottleneck, and allowing transmission of PUCCH-BFR also on </w:t>
      </w:r>
      <w:proofErr w:type="spellStart"/>
      <w:r>
        <w:t>SCells</w:t>
      </w:r>
      <w:proofErr w:type="spellEnd"/>
      <w:r>
        <w:t xml:space="preserve"> may provide additional SR capacity:</w:t>
      </w:r>
    </w:p>
    <w:p w14:paraId="0485F21B" w14:textId="7D5E44E3" w:rsidR="00641E4E" w:rsidRDefault="00641E4E" w:rsidP="009B3E52">
      <w:pPr>
        <w:pStyle w:val="Proposal"/>
      </w:pPr>
      <w:bookmarkStart w:id="27" w:name="_Ref20832187"/>
      <w:bookmarkStart w:id="28" w:name="_Toc21098173"/>
      <w:r>
        <w:t xml:space="preserve">PUCCH-BFR can be configured also on </w:t>
      </w:r>
      <w:proofErr w:type="spellStart"/>
      <w:r>
        <w:t>SCells</w:t>
      </w:r>
      <w:proofErr w:type="spellEnd"/>
      <w:r>
        <w:t>.</w:t>
      </w:r>
      <w:bookmarkEnd w:id="27"/>
      <w:bookmarkEnd w:id="28"/>
    </w:p>
    <w:p w14:paraId="469D9557" w14:textId="5E006468" w:rsidR="008E72BE" w:rsidRDefault="0038103C" w:rsidP="00C061C6">
      <w:pPr>
        <w:pStyle w:val="BodyText"/>
      </w:pPr>
      <w:r>
        <w:t xml:space="preserve">In the second agreement, there was an FFS on the details when PUCCH-BFR collides with other UL signals. Thinking about PUCCH-BFR as a high priority SR is quite helpful: the NR framework contains quite powerful </w:t>
      </w:r>
      <w:r w:rsidR="008E72BE">
        <w:t>mechanisms to handle multiplexing of several UCI types (</w:t>
      </w:r>
      <w:r w:rsidR="008E72BE">
        <w:fldChar w:fldCharType="begin"/>
      </w:r>
      <w:r w:rsidR="008E72BE">
        <w:instrText xml:space="preserve"> REF _Ref20829915 \r \h </w:instrText>
      </w:r>
      <w:r w:rsidR="008E72BE">
        <w:fldChar w:fldCharType="separate"/>
      </w:r>
      <w:r w:rsidR="00104470">
        <w:t>[2]</w:t>
      </w:r>
      <w:r w:rsidR="008E72BE">
        <w:fldChar w:fldCharType="end"/>
      </w:r>
      <w:r w:rsidR="008E72BE">
        <w:t xml:space="preserve">, section 9.2.5): </w:t>
      </w:r>
    </w:p>
    <w:p w14:paraId="3F1A9947" w14:textId="55155250" w:rsidR="008E72BE" w:rsidRDefault="008E72BE" w:rsidP="00C061C6">
      <w:pPr>
        <w:pStyle w:val="Observation"/>
      </w:pPr>
      <w:bookmarkStart w:id="29" w:name="_Toc21098146"/>
      <w:r>
        <w:t>NR provides mechanisms to handle simultaneous transmissions of different UCI types</w:t>
      </w:r>
      <w:r w:rsidRPr="00A04F49">
        <w:t>.</w:t>
      </w:r>
      <w:bookmarkEnd w:id="29"/>
    </w:p>
    <w:p w14:paraId="125FC145" w14:textId="24D75DEB" w:rsidR="008E72BE" w:rsidRDefault="008E72BE" w:rsidP="00C061C6">
      <w:pPr>
        <w:pStyle w:val="BodyText"/>
      </w:pPr>
      <w:r>
        <w:t xml:space="preserve">Also note that it is </w:t>
      </w:r>
      <w:r w:rsidR="0048278C">
        <w:t xml:space="preserve">typically </w:t>
      </w:r>
      <w:r>
        <w:t xml:space="preserve">possible for the NW to avoid these collisions, </w:t>
      </w:r>
      <w:r w:rsidR="0048278C">
        <w:t xml:space="preserve">e.g., between HARQ ACKs and SR, </w:t>
      </w:r>
      <w:r>
        <w:t xml:space="preserve">if deemed </w:t>
      </w:r>
      <w:proofErr w:type="gramStart"/>
      <w:r w:rsidR="0048278C">
        <w:t xml:space="preserve">really </w:t>
      </w:r>
      <w:r>
        <w:t>necessary</w:t>
      </w:r>
      <w:proofErr w:type="gramEnd"/>
      <w:r>
        <w:t>.</w:t>
      </w:r>
    </w:p>
    <w:p w14:paraId="158C986E" w14:textId="6C7F0F4C" w:rsidR="0048278C" w:rsidRDefault="008E72BE" w:rsidP="00C061C6">
      <w:pPr>
        <w:pStyle w:val="BodyText"/>
      </w:pPr>
      <w:r>
        <w:t>The only potentially new thing is how to prioritize PUCCH-BFR relative to other SRs.</w:t>
      </w:r>
      <w:r w:rsidR="009B3E52">
        <w:t xml:space="preserve"> Here we note that</w:t>
      </w:r>
      <w:r>
        <w:t xml:space="preserve"> the issue was included in the LS to RAN2 </w:t>
      </w:r>
      <w:r>
        <w:fldChar w:fldCharType="begin"/>
      </w:r>
      <w:r>
        <w:instrText xml:space="preserve"> REF _Ref20830243 \r \h </w:instrText>
      </w:r>
      <w:r>
        <w:fldChar w:fldCharType="separate"/>
      </w:r>
      <w:r w:rsidR="00104470">
        <w:t>[3]</w:t>
      </w:r>
      <w:r>
        <w:fldChar w:fldCharType="end"/>
      </w:r>
      <w:r w:rsidR="0048278C">
        <w:t>:</w:t>
      </w:r>
    </w:p>
    <w:p w14:paraId="6B75B8BA" w14:textId="6A8C1700" w:rsidR="007C46A6" w:rsidRDefault="0048278C" w:rsidP="00C061C6">
      <w:pPr>
        <w:pStyle w:val="BodyText"/>
      </w:pPr>
      <w:r>
        <w:rPr>
          <w:noProof/>
        </w:rPr>
        <w:lastRenderedPageBreak/>
        <mc:AlternateContent>
          <mc:Choice Requires="wps">
            <w:drawing>
              <wp:inline distT="0" distB="0" distL="0" distR="0" wp14:anchorId="1B5B5DAD" wp14:editId="6002BD9E">
                <wp:extent cx="6115050" cy="895350"/>
                <wp:effectExtent l="0" t="0" r="19050" b="17145"/>
                <wp:docPr id="4" name="Text Box 4"/>
                <wp:cNvGraphicFramePr/>
                <a:graphic xmlns:a="http://schemas.openxmlformats.org/drawingml/2006/main">
                  <a:graphicData uri="http://schemas.microsoft.com/office/word/2010/wordprocessingShape">
                    <wps:wsp>
                      <wps:cNvSpPr txBox="1"/>
                      <wps:spPr>
                        <a:xfrm>
                          <a:off x="0" y="0"/>
                          <a:ext cx="6115050" cy="895350"/>
                        </a:xfrm>
                        <a:prstGeom prst="rect">
                          <a:avLst/>
                        </a:prstGeom>
                        <a:solidFill>
                          <a:schemeClr val="lt1"/>
                        </a:solidFill>
                        <a:ln w="6350">
                          <a:solidFill>
                            <a:prstClr val="black"/>
                          </a:solidFill>
                        </a:ln>
                      </wps:spPr>
                      <wps:txbx>
                        <w:txbxContent>
                          <w:p w14:paraId="7C3AD515" w14:textId="067FA5E4" w:rsidR="00384AC2" w:rsidRDefault="00384AC2" w:rsidP="0048278C">
                            <w:pPr>
                              <w:pStyle w:val="Header"/>
                              <w:spacing w:after="120"/>
                              <w:rPr>
                                <w:b w:val="0"/>
                                <w:lang w:eastAsia="zh-CN"/>
                              </w:rPr>
                            </w:pPr>
                            <w:r>
                              <w:rPr>
                                <w:b w:val="0"/>
                                <w:lang w:eastAsia="zh-CN"/>
                              </w:rPr>
                              <w:t xml:space="preserve">Excerpt from </w:t>
                            </w:r>
                            <w:r>
                              <w:rPr>
                                <w:b w:val="0"/>
                                <w:lang w:eastAsia="zh-CN"/>
                              </w:rPr>
                              <w:fldChar w:fldCharType="begin"/>
                            </w:r>
                            <w:r>
                              <w:rPr>
                                <w:b w:val="0"/>
                                <w:lang w:eastAsia="zh-CN"/>
                              </w:rPr>
                              <w:instrText xml:space="preserve"> REF _Ref20830243 \r \h </w:instrText>
                            </w:r>
                            <w:r>
                              <w:rPr>
                                <w:b w:val="0"/>
                                <w:lang w:eastAsia="zh-CN"/>
                              </w:rPr>
                            </w:r>
                            <w:r>
                              <w:rPr>
                                <w:b w:val="0"/>
                                <w:lang w:eastAsia="zh-CN"/>
                              </w:rPr>
                              <w:fldChar w:fldCharType="separate"/>
                            </w:r>
                            <w:r>
                              <w:rPr>
                                <w:b w:val="0"/>
                                <w:lang w:eastAsia="zh-CN"/>
                              </w:rPr>
                              <w:t>[3]</w:t>
                            </w:r>
                            <w:r>
                              <w:rPr>
                                <w:b w:val="0"/>
                                <w:lang w:eastAsia="zh-CN"/>
                              </w:rPr>
                              <w:fldChar w:fldCharType="end"/>
                            </w:r>
                            <w:r>
                              <w:rPr>
                                <w:b w:val="0"/>
                                <w:lang w:eastAsia="zh-CN"/>
                              </w:rPr>
                              <w:t>:</w:t>
                            </w:r>
                          </w:p>
                          <w:p w14:paraId="1D3D79C9" w14:textId="6E34D777" w:rsidR="00384AC2" w:rsidRPr="0048278C" w:rsidRDefault="00384AC2" w:rsidP="0048278C">
                            <w:pPr>
                              <w:pStyle w:val="Header"/>
                              <w:spacing w:after="120"/>
                              <w:rPr>
                                <w:b w:val="0"/>
                                <w:lang w:eastAsia="zh-CN"/>
                              </w:rPr>
                            </w:pPr>
                            <w:r w:rsidRPr="0048278C">
                              <w:rPr>
                                <w:b w:val="0"/>
                                <w:lang w:eastAsia="zh-CN"/>
                              </w:rPr>
                              <w:t>RAN1 would like to provide the following additional information on SCell BFR to RAN2.</w:t>
                            </w:r>
                          </w:p>
                          <w:p w14:paraId="5A75E384" w14:textId="77777777" w:rsidR="00384AC2" w:rsidRPr="0048278C" w:rsidRDefault="00384AC2" w:rsidP="0048278C">
                            <w:pPr>
                              <w:pStyle w:val="Header"/>
                              <w:widowControl/>
                              <w:numPr>
                                <w:ilvl w:val="0"/>
                                <w:numId w:val="27"/>
                              </w:numPr>
                              <w:tabs>
                                <w:tab w:val="center" w:pos="4153"/>
                                <w:tab w:val="right" w:pos="8306"/>
                              </w:tabs>
                              <w:overflowPunct/>
                              <w:autoSpaceDE/>
                              <w:autoSpaceDN/>
                              <w:adjustRightInd/>
                              <w:spacing w:after="120"/>
                              <w:textAlignment w:val="auto"/>
                              <w:rPr>
                                <w:b w:val="0"/>
                                <w:lang w:eastAsia="zh-CN"/>
                              </w:rPr>
                            </w:pPr>
                            <w:r w:rsidRPr="0048278C">
                              <w:rPr>
                                <w:b w:val="0"/>
                                <w:lang w:eastAsia="zh-CN"/>
                              </w:rPr>
                              <w:t xml:space="preserve">RAN1 suggests RAN2 to give higher priority for SCell BFR MAC CE than at least UL data, and </w:t>
                            </w:r>
                            <w:r w:rsidRPr="0048278C">
                              <w:rPr>
                                <w:b w:val="0"/>
                                <w:highlight w:val="yellow"/>
                                <w:lang w:eastAsia="zh-CN"/>
                              </w:rPr>
                              <w:t>also higher priority for SCell BFR PUCCH than normal SR</w:t>
                            </w:r>
                          </w:p>
                          <w:p w14:paraId="77A63470" w14:textId="77777777" w:rsidR="00384AC2" w:rsidRPr="0048278C" w:rsidRDefault="00384AC2" w:rsidP="0048278C">
                            <w:pPr>
                              <w:pStyle w:val="Header"/>
                              <w:widowControl/>
                              <w:numPr>
                                <w:ilvl w:val="0"/>
                                <w:numId w:val="27"/>
                              </w:numPr>
                              <w:tabs>
                                <w:tab w:val="center" w:pos="4153"/>
                                <w:tab w:val="right" w:pos="8306"/>
                              </w:tabs>
                              <w:overflowPunct/>
                              <w:autoSpaceDE/>
                              <w:autoSpaceDN/>
                              <w:adjustRightInd/>
                              <w:spacing w:after="120"/>
                              <w:textAlignment w:val="auto"/>
                              <w:rPr>
                                <w:b w:val="0"/>
                                <w:lang w:eastAsia="zh-CN"/>
                              </w:rPr>
                            </w:pPr>
                            <w:r w:rsidRPr="0048278C">
                              <w:rPr>
                                <w:b w:val="0"/>
                                <w:lang w:eastAsia="zh-CN"/>
                              </w:rPr>
                              <w:t>The details on MAC CE for BFR, and whether to transmit a MAC CE to carry BFRQ information for 1 SCell or multiple SCells is up to RAN2</w:t>
                            </w:r>
                          </w:p>
                          <w:p w14:paraId="46E8FA4F" w14:textId="0EC9C91B" w:rsidR="00384AC2" w:rsidRPr="0048278C" w:rsidRDefault="00384AC2" w:rsidP="0048278C">
                            <w:pPr>
                              <w:pStyle w:val="Header"/>
                              <w:widowControl/>
                              <w:numPr>
                                <w:ilvl w:val="0"/>
                                <w:numId w:val="27"/>
                              </w:numPr>
                              <w:tabs>
                                <w:tab w:val="center" w:pos="4153"/>
                                <w:tab w:val="right" w:pos="8306"/>
                              </w:tabs>
                              <w:overflowPunct/>
                              <w:autoSpaceDE/>
                              <w:autoSpaceDN/>
                              <w:adjustRightInd/>
                              <w:spacing w:after="120"/>
                              <w:textAlignment w:val="auto"/>
                              <w:rPr>
                                <w:b w:val="0"/>
                                <w:lang w:eastAsia="zh-CN"/>
                              </w:rPr>
                            </w:pPr>
                            <w:r w:rsidRPr="0048278C">
                              <w:rPr>
                                <w:b w:val="0"/>
                                <w:lang w:eastAsia="zh-CN"/>
                              </w:rPr>
                              <w:t>RAN1 identified that beam failure on multiple SCells can occur simultaneously but have not reached consensus on how often this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B5B5DAD" id="Text Box 4" o:spid="_x0000_s1031" type="#_x0000_t202" style="width:481.5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" fillcolor="white [3201]" strokeweight=".5pt">
                <v:textbox style="mso-fit-shape-to-text:t">
                  <w:txbxContent>
                    <w:p w14:paraId="7C3AD515" w14:textId="067FA5E4" w:rsidR="00384AC2" w:rsidRDefault="00384AC2" w:rsidP="0048278C">
                      <w:pPr>
                        <w:pStyle w:val="Header"/>
                        <w:spacing w:after="120"/>
                        <w:rPr>
                          <w:b w:val="0"/>
                          <w:lang w:eastAsia="zh-CN"/>
                        </w:rPr>
                      </w:pPr>
                      <w:r>
                        <w:rPr>
                          <w:b w:val="0"/>
                          <w:lang w:eastAsia="zh-CN"/>
                        </w:rPr>
                        <w:t xml:space="preserve">Excerpt from </w:t>
                      </w:r>
                      <w:r>
                        <w:rPr>
                          <w:b w:val="0"/>
                          <w:lang w:eastAsia="zh-CN"/>
                        </w:rPr>
                        <w:fldChar w:fldCharType="begin"/>
                      </w:r>
                      <w:r>
                        <w:rPr>
                          <w:b w:val="0"/>
                          <w:lang w:eastAsia="zh-CN"/>
                        </w:rPr>
                        <w:instrText xml:space="preserve"> REF _Ref20830243 \r \h </w:instrText>
                      </w:r>
                      <w:r>
                        <w:rPr>
                          <w:b w:val="0"/>
                          <w:lang w:eastAsia="zh-CN"/>
                        </w:rPr>
                      </w:r>
                      <w:r>
                        <w:rPr>
                          <w:b w:val="0"/>
                          <w:lang w:eastAsia="zh-CN"/>
                        </w:rPr>
                        <w:fldChar w:fldCharType="separate"/>
                      </w:r>
                      <w:r>
                        <w:rPr>
                          <w:b w:val="0"/>
                          <w:lang w:eastAsia="zh-CN"/>
                        </w:rPr>
                        <w:t>[3]</w:t>
                      </w:r>
                      <w:r>
                        <w:rPr>
                          <w:b w:val="0"/>
                          <w:lang w:eastAsia="zh-CN"/>
                        </w:rPr>
                        <w:fldChar w:fldCharType="end"/>
                      </w:r>
                      <w:r>
                        <w:rPr>
                          <w:b w:val="0"/>
                          <w:lang w:eastAsia="zh-CN"/>
                        </w:rPr>
                        <w:t>:</w:t>
                      </w:r>
                    </w:p>
                    <w:p w14:paraId="1D3D79C9" w14:textId="6E34D777" w:rsidR="00384AC2" w:rsidRPr="0048278C" w:rsidRDefault="00384AC2" w:rsidP="0048278C">
                      <w:pPr>
                        <w:pStyle w:val="Header"/>
                        <w:spacing w:after="120"/>
                        <w:rPr>
                          <w:b w:val="0"/>
                          <w:lang w:eastAsia="zh-CN"/>
                        </w:rPr>
                      </w:pPr>
                      <w:r w:rsidRPr="0048278C">
                        <w:rPr>
                          <w:b w:val="0"/>
                          <w:lang w:eastAsia="zh-CN"/>
                        </w:rPr>
                        <w:t>RAN1 would like to provide the following additional information on SCell BFR to RAN2.</w:t>
                      </w:r>
                    </w:p>
                    <w:p w14:paraId="5A75E384" w14:textId="77777777" w:rsidR="00384AC2" w:rsidRPr="0048278C" w:rsidRDefault="00384AC2" w:rsidP="0048278C">
                      <w:pPr>
                        <w:pStyle w:val="Header"/>
                        <w:widowControl/>
                        <w:numPr>
                          <w:ilvl w:val="0"/>
                          <w:numId w:val="27"/>
                        </w:numPr>
                        <w:tabs>
                          <w:tab w:val="center" w:pos="4153"/>
                          <w:tab w:val="right" w:pos="8306"/>
                        </w:tabs>
                        <w:overflowPunct/>
                        <w:autoSpaceDE/>
                        <w:autoSpaceDN/>
                        <w:adjustRightInd/>
                        <w:spacing w:after="120"/>
                        <w:textAlignment w:val="auto"/>
                        <w:rPr>
                          <w:b w:val="0"/>
                          <w:lang w:eastAsia="zh-CN"/>
                        </w:rPr>
                      </w:pPr>
                      <w:r w:rsidRPr="0048278C">
                        <w:rPr>
                          <w:b w:val="0"/>
                          <w:lang w:eastAsia="zh-CN"/>
                        </w:rPr>
                        <w:t xml:space="preserve">RAN1 suggests RAN2 to give higher priority for SCell BFR MAC CE than at least UL data, and </w:t>
                      </w:r>
                      <w:r w:rsidRPr="0048278C">
                        <w:rPr>
                          <w:b w:val="0"/>
                          <w:highlight w:val="yellow"/>
                          <w:lang w:eastAsia="zh-CN"/>
                        </w:rPr>
                        <w:t>also higher priority for SCell BFR PUCCH than normal SR</w:t>
                      </w:r>
                    </w:p>
                    <w:p w14:paraId="77A63470" w14:textId="77777777" w:rsidR="00384AC2" w:rsidRPr="0048278C" w:rsidRDefault="00384AC2" w:rsidP="0048278C">
                      <w:pPr>
                        <w:pStyle w:val="Header"/>
                        <w:widowControl/>
                        <w:numPr>
                          <w:ilvl w:val="0"/>
                          <w:numId w:val="27"/>
                        </w:numPr>
                        <w:tabs>
                          <w:tab w:val="center" w:pos="4153"/>
                          <w:tab w:val="right" w:pos="8306"/>
                        </w:tabs>
                        <w:overflowPunct/>
                        <w:autoSpaceDE/>
                        <w:autoSpaceDN/>
                        <w:adjustRightInd/>
                        <w:spacing w:after="120"/>
                        <w:textAlignment w:val="auto"/>
                        <w:rPr>
                          <w:b w:val="0"/>
                          <w:lang w:eastAsia="zh-CN"/>
                        </w:rPr>
                      </w:pPr>
                      <w:r w:rsidRPr="0048278C">
                        <w:rPr>
                          <w:b w:val="0"/>
                          <w:lang w:eastAsia="zh-CN"/>
                        </w:rPr>
                        <w:t>The details on MAC CE for BFR, and whether to transmit a MAC CE to carry BFRQ information for 1 SCell or multiple SCells is up to RAN2</w:t>
                      </w:r>
                    </w:p>
                    <w:p w14:paraId="46E8FA4F" w14:textId="0EC9C91B" w:rsidR="00384AC2" w:rsidRPr="0048278C" w:rsidRDefault="00384AC2" w:rsidP="0048278C">
                      <w:pPr>
                        <w:pStyle w:val="Header"/>
                        <w:widowControl/>
                        <w:numPr>
                          <w:ilvl w:val="0"/>
                          <w:numId w:val="27"/>
                        </w:numPr>
                        <w:tabs>
                          <w:tab w:val="center" w:pos="4153"/>
                          <w:tab w:val="right" w:pos="8306"/>
                        </w:tabs>
                        <w:overflowPunct/>
                        <w:autoSpaceDE/>
                        <w:autoSpaceDN/>
                        <w:adjustRightInd/>
                        <w:spacing w:after="120"/>
                        <w:textAlignment w:val="auto"/>
                        <w:rPr>
                          <w:b w:val="0"/>
                          <w:lang w:eastAsia="zh-CN"/>
                        </w:rPr>
                      </w:pPr>
                      <w:r w:rsidRPr="0048278C">
                        <w:rPr>
                          <w:b w:val="0"/>
                          <w:lang w:eastAsia="zh-CN"/>
                        </w:rPr>
                        <w:t>RAN1 identified that beam failure on multiple SCells can occur simultaneously but have not reached consensus on how often this occurs</w:t>
                      </w:r>
                    </w:p>
                  </w:txbxContent>
                </v:textbox>
                <w10:anchorlock/>
              </v:shape>
            </w:pict>
          </mc:Fallback>
        </mc:AlternateContent>
      </w:r>
      <w:r w:rsidR="008E72BE">
        <w:t xml:space="preserve"> </w:t>
      </w:r>
    </w:p>
    <w:p w14:paraId="716A7EED" w14:textId="4D40B603" w:rsidR="008E72BE" w:rsidRDefault="0048278C" w:rsidP="00C061C6">
      <w:pPr>
        <w:pStyle w:val="BodyText"/>
      </w:pPr>
      <w:r>
        <w:t>Hence, RAN1 has already asked RAN2 to handle the priority among SRs</w:t>
      </w:r>
      <w:r w:rsidR="009B3E52">
        <w:t xml:space="preserve">. </w:t>
      </w:r>
    </w:p>
    <w:p w14:paraId="1BCD52DE" w14:textId="78B62809" w:rsidR="00CD3653" w:rsidRDefault="00CD3653" w:rsidP="00C061C6">
      <w:pPr>
        <w:pStyle w:val="BodyText"/>
      </w:pPr>
      <w:r>
        <w:t>Based on this, we propose</w:t>
      </w:r>
    </w:p>
    <w:p w14:paraId="7B0C7AB2" w14:textId="6ABC7EDA" w:rsidR="00CD3653" w:rsidRPr="00A04F49" w:rsidRDefault="00CD3653" w:rsidP="00CD3653">
      <w:pPr>
        <w:pStyle w:val="Proposal"/>
      </w:pPr>
      <w:bookmarkStart w:id="30" w:name="_Toc21098174"/>
      <w:r>
        <w:t>Do not define new prioritization rules in RAN1 due to the introduction of PUCCH-BFR.</w:t>
      </w:r>
      <w:bookmarkEnd w:id="30"/>
    </w:p>
    <w:p w14:paraId="62CA8B25" w14:textId="77777777" w:rsidR="00CD3653" w:rsidRDefault="00CD3653" w:rsidP="00C061C6">
      <w:pPr>
        <w:pStyle w:val="BodyText"/>
      </w:pPr>
      <w:r>
        <w:t xml:space="preserve">In the final agreement listed above, RAN1 stated that it would conclude on if there is </w:t>
      </w:r>
      <w:r w:rsidRPr="00CD3653">
        <w:t>a case where the SR-like dedicated PUCCH resource for SCell BFR is not configure</w:t>
      </w:r>
      <w:r>
        <w:t>d, and what the behaviour would be if PUCCH-BFR is not configured.</w:t>
      </w:r>
    </w:p>
    <w:p w14:paraId="3293A74D" w14:textId="15B7E24F" w:rsidR="00CD3653" w:rsidRDefault="00CD3653" w:rsidP="00C061C6">
      <w:pPr>
        <w:pStyle w:val="BodyText"/>
      </w:pPr>
      <w:r>
        <w:t>To conclude on this, we first note that the MAC CE is self-contained: when the NW receives that MAC CE, it knows that beam failure has occurred</w:t>
      </w:r>
      <w:r w:rsidR="00875714">
        <w:t>, which SCell failed, and a potential new beam</w:t>
      </w:r>
      <w:r>
        <w:t>: PUCCH-BFR is merely an early indication</w:t>
      </w:r>
      <w:r w:rsidR="00875714">
        <w:t>:</w:t>
      </w:r>
      <w:r>
        <w:t xml:space="preserve"> </w:t>
      </w:r>
    </w:p>
    <w:p w14:paraId="7F2AE0DE" w14:textId="0881BA45" w:rsidR="00CD3653" w:rsidRDefault="00CD3653" w:rsidP="00CD3653">
      <w:pPr>
        <w:pStyle w:val="Observation"/>
      </w:pPr>
      <w:bookmarkStart w:id="31" w:name="_Toc21098147"/>
      <w:r>
        <w:t>The MAC CE contain</w:t>
      </w:r>
      <w:r w:rsidR="00875714">
        <w:t>ing</w:t>
      </w:r>
      <w:r>
        <w:t xml:space="preserve"> the information about </w:t>
      </w:r>
      <w:r w:rsidR="00875714">
        <w:t>which SCell failed and a potential new beam is self-contained.</w:t>
      </w:r>
      <w:bookmarkEnd w:id="31"/>
    </w:p>
    <w:p w14:paraId="73D38DA1" w14:textId="5DE326D3" w:rsidR="00875714" w:rsidRDefault="00875714" w:rsidP="00875714">
      <w:pPr>
        <w:pStyle w:val="BodyText"/>
      </w:pPr>
      <w:r>
        <w:t xml:space="preserve">Thus, it does not matter what UL resources were used to transmit the MAC CE; once the NW receives it, the NW knows what happened. For example, if the UE already had UL resources, or asked for UL resources using SR or </w:t>
      </w:r>
      <w:r w:rsidR="00637B8C">
        <w:t>RACH, the</w:t>
      </w:r>
      <w:r>
        <w:t xml:space="preserve"> NW still understands that beam failure occurred once it receives the MAC CE.</w:t>
      </w:r>
    </w:p>
    <w:p w14:paraId="5BDFFADB" w14:textId="2E3DB8FD" w:rsidR="00637B8C" w:rsidRDefault="00875714" w:rsidP="00875714">
      <w:pPr>
        <w:pStyle w:val="BodyText"/>
      </w:pPr>
      <w:r>
        <w:t>In many cases, SR capacity is a bottleneck (</w:t>
      </w:r>
      <w:r w:rsidR="009B3E52">
        <w:t>as mentioned in the discussion leading to</w:t>
      </w:r>
      <w:r>
        <w:t xml:space="preserve"> </w:t>
      </w:r>
      <w:r>
        <w:fldChar w:fldCharType="begin"/>
      </w:r>
      <w:r>
        <w:instrText xml:space="preserve"> REF _Ref20832187 \r \h </w:instrText>
      </w:r>
      <w:r>
        <w:fldChar w:fldCharType="separate"/>
      </w:r>
      <w:r w:rsidR="009B3E52">
        <w:t>Proposal 14</w:t>
      </w:r>
      <w:r>
        <w:fldChar w:fldCharType="end"/>
      </w:r>
      <w:r>
        <w:t xml:space="preserve">). Any means to reduce the </w:t>
      </w:r>
      <w:r w:rsidR="008016E3">
        <w:t xml:space="preserve">SR load is quite welcome. </w:t>
      </w:r>
    </w:p>
    <w:p w14:paraId="47517A6A" w14:textId="283E551C" w:rsidR="00637B8C" w:rsidRDefault="00637B8C" w:rsidP="00637B8C">
      <w:pPr>
        <w:pStyle w:val="Observation"/>
      </w:pPr>
      <w:bookmarkStart w:id="32" w:name="_Toc21098148"/>
      <w:r>
        <w:t xml:space="preserve">In many cases, </w:t>
      </w:r>
      <w:r w:rsidR="009B3E52">
        <w:t xml:space="preserve">SR </w:t>
      </w:r>
      <w:r>
        <w:t>capacity is a bottleneck.</w:t>
      </w:r>
      <w:bookmarkEnd w:id="32"/>
    </w:p>
    <w:p w14:paraId="4DB7C7C6" w14:textId="2901557F" w:rsidR="00637B8C" w:rsidRDefault="008016E3" w:rsidP="00875714">
      <w:pPr>
        <w:pStyle w:val="BodyText"/>
      </w:pPr>
      <w:r>
        <w:t xml:space="preserve">Thus, the NW should not be required to reserve dedicated </w:t>
      </w:r>
      <w:r w:rsidR="009B3E52">
        <w:t>SR</w:t>
      </w:r>
      <w:r>
        <w:t xml:space="preserve"> resources for this purpose, as this will consume scarce PUCCH resources. Moreover, the UE is not allowed to </w:t>
      </w:r>
      <w:r w:rsidR="00637B8C">
        <w:t xml:space="preserve">(directly) </w:t>
      </w:r>
      <w:r>
        <w:t xml:space="preserve">transmit PUCCH if the TA timer has expired: the UE would then have to transmit PRACH, in which case the MAC CE containing the BFR information could be included in the </w:t>
      </w:r>
      <w:r w:rsidR="00637B8C">
        <w:t xml:space="preserve">early </w:t>
      </w:r>
      <w:r>
        <w:t>UL transmission</w:t>
      </w:r>
      <w:r w:rsidR="00637B8C">
        <w:t>s. Based on the above</w:t>
      </w:r>
      <w:r>
        <w:t xml:space="preserve"> </w:t>
      </w:r>
      <w:r w:rsidR="00637B8C">
        <w:t>we propose</w:t>
      </w:r>
    </w:p>
    <w:p w14:paraId="43E9935C" w14:textId="15B13451" w:rsidR="008016E3" w:rsidRPr="00A04F49" w:rsidRDefault="00637B8C" w:rsidP="008016E3">
      <w:pPr>
        <w:pStyle w:val="Proposal"/>
      </w:pPr>
      <w:bookmarkStart w:id="33" w:name="_Toc21098175"/>
      <w:r>
        <w:t>If an SR-like PUCCH resource is not configured, the UE requests UL resources to transmit the BFRQ MAC CE using the normal SR procedure.</w:t>
      </w:r>
      <w:bookmarkEnd w:id="33"/>
    </w:p>
    <w:p w14:paraId="321BB6AD" w14:textId="0746BEF4" w:rsidR="008016E3" w:rsidRDefault="00637B8C" w:rsidP="00875714">
      <w:pPr>
        <w:pStyle w:val="BodyText"/>
      </w:pPr>
      <w:r>
        <w:t xml:space="preserve">Of course, the NW still has the capability to configure the dedicated SR-like PUCCH resource if desired. </w:t>
      </w:r>
    </w:p>
    <w:p w14:paraId="7D06C4FF" w14:textId="4A1E2AB5" w:rsidR="00560E5D" w:rsidRPr="00560E5D" w:rsidRDefault="00560E5D" w:rsidP="00560E5D">
      <w:pPr>
        <w:pStyle w:val="Heading3"/>
      </w:pPr>
      <w:r>
        <w:t>2.3</w:t>
      </w:r>
      <w:r>
        <w:tab/>
      </w:r>
      <w:r w:rsidRPr="002C1CDD">
        <w:t>Measurement reporting based on L1-SINR</w:t>
      </w:r>
    </w:p>
    <w:p w14:paraId="354761B7" w14:textId="1A8ACA83" w:rsidR="00436BEA" w:rsidRDefault="0072327E" w:rsidP="0072327E">
      <w:pPr>
        <w:pStyle w:val="BodyText"/>
      </w:pPr>
      <w:r>
        <w:t>The following was agreed in RAN1#98:</w:t>
      </w:r>
    </w:p>
    <w:p w14:paraId="41FC9F52" w14:textId="77777777" w:rsidR="0072327E" w:rsidRDefault="0072327E" w:rsidP="0072327E">
      <w:pPr>
        <w:pStyle w:val="BodyText"/>
      </w:pPr>
      <w:r>
        <w:rPr>
          <w:noProof/>
        </w:rPr>
        <w:lastRenderedPageBreak/>
        <mc:AlternateContent>
          <mc:Choice Requires="wps">
            <w:drawing>
              <wp:inline distT="0" distB="0" distL="0" distR="0" wp14:anchorId="1378D21A" wp14:editId="1D20E399">
                <wp:extent cx="6115050" cy="895350"/>
                <wp:effectExtent l="0" t="0" r="19050" b="17145"/>
                <wp:docPr id="5" name="Text Box 5"/>
                <wp:cNvGraphicFramePr/>
                <a:graphic xmlns:a="http://schemas.openxmlformats.org/drawingml/2006/main">
                  <a:graphicData uri="http://schemas.microsoft.com/office/word/2010/wordprocessingShape">
                    <wps:wsp>
                      <wps:cNvSpPr txBox="1"/>
                      <wps:spPr>
                        <a:xfrm>
                          <a:off x="0" y="0"/>
                          <a:ext cx="6115050" cy="895350"/>
                        </a:xfrm>
                        <a:prstGeom prst="rect">
                          <a:avLst/>
                        </a:prstGeom>
                        <a:solidFill>
                          <a:schemeClr val="lt1"/>
                        </a:solidFill>
                        <a:ln w="6350">
                          <a:solidFill>
                            <a:prstClr val="black"/>
                          </a:solidFill>
                        </a:ln>
                      </wps:spPr>
                      <wps:txbx>
                        <w:txbxContent>
                          <w:p w14:paraId="484F0833" w14:textId="77777777" w:rsidR="00384AC2" w:rsidRPr="004B1E35" w:rsidRDefault="00384AC2" w:rsidP="0072327E">
                            <w:pPr>
                              <w:rPr>
                                <w:b/>
                                <w:bCs/>
                                <w:szCs w:val="22"/>
                                <w:highlight w:val="green"/>
                                <w:lang w:val="en-US" w:eastAsia="x-none"/>
                              </w:rPr>
                            </w:pPr>
                            <w:r w:rsidRPr="004B1E35">
                              <w:rPr>
                                <w:b/>
                                <w:bCs/>
                                <w:szCs w:val="22"/>
                                <w:highlight w:val="green"/>
                                <w:lang w:val="en-US" w:eastAsia="x-none"/>
                              </w:rPr>
                              <w:t>Agreement</w:t>
                            </w:r>
                          </w:p>
                          <w:p w14:paraId="1AFA7967" w14:textId="77777777" w:rsidR="00384AC2" w:rsidRPr="004B1E35" w:rsidRDefault="00384AC2" w:rsidP="0072327E">
                            <w:pPr>
                              <w:pStyle w:val="0Maintext"/>
                              <w:spacing w:after="0" w:afterAutospacing="0" w:line="240" w:lineRule="auto"/>
                              <w:ind w:firstLine="0"/>
                              <w:rPr>
                                <w:rFonts w:cs="Times New Roman"/>
                                <w:sz w:val="22"/>
                                <w:szCs w:val="22"/>
                                <w:lang w:val="en-US" w:eastAsia="zh-CN"/>
                              </w:rPr>
                            </w:pPr>
                            <w:r w:rsidRPr="004B1E35">
                              <w:rPr>
                                <w:rFonts w:cs="Times New Roman"/>
                                <w:sz w:val="22"/>
                                <w:szCs w:val="22"/>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384AC2" w:rsidRPr="004B1E35" w14:paraId="0A3C3EF1" w14:textId="77777777" w:rsidTr="009924B4">
                              <w:trPr>
                                <w:trHeight w:val="641"/>
                                <w:jc w:val="center"/>
                              </w:trPr>
                              <w:tc>
                                <w:tcPr>
                                  <w:tcW w:w="1512" w:type="dxa"/>
                                  <w:shd w:val="clear" w:color="auto" w:fill="E0E0E0"/>
                                  <w:vAlign w:val="center"/>
                                </w:tcPr>
                                <w:p w14:paraId="161014F9" w14:textId="77777777" w:rsidR="00384AC2" w:rsidRPr="004B1E35" w:rsidRDefault="00384AC2" w:rsidP="0072327E">
                                  <w:pPr>
                                    <w:pStyle w:val="TAH"/>
                                    <w:rPr>
                                      <w:rFonts w:ascii="Times New Roman" w:hAnsi="Times New Roman"/>
                                      <w:b w:val="0"/>
                                      <w:sz w:val="22"/>
                                      <w:szCs w:val="22"/>
                                      <w:lang w:eastAsia="zh-CN"/>
                                    </w:rPr>
                                  </w:pPr>
                                  <w:r w:rsidRPr="004B1E35">
                                    <w:rPr>
                                      <w:rFonts w:ascii="Times New Roman" w:hAnsi="Times New Roman"/>
                                      <w:b w:val="0"/>
                                      <w:sz w:val="22"/>
                                      <w:szCs w:val="22"/>
                                      <w:lang w:eastAsia="zh-CN"/>
                                    </w:rPr>
                                    <w:t>CSI report number</w:t>
                                  </w:r>
                                </w:p>
                              </w:tc>
                              <w:tc>
                                <w:tcPr>
                                  <w:tcW w:w="3019" w:type="dxa"/>
                                  <w:shd w:val="clear" w:color="auto" w:fill="E0E0E0"/>
                                  <w:vAlign w:val="center"/>
                                </w:tcPr>
                                <w:p w14:paraId="020162E9" w14:textId="77777777" w:rsidR="00384AC2" w:rsidRPr="004B1E35" w:rsidRDefault="00384AC2" w:rsidP="0072327E">
                                  <w:pPr>
                                    <w:pStyle w:val="TAH"/>
                                    <w:rPr>
                                      <w:rFonts w:ascii="Times New Roman" w:hAnsi="Times New Roman"/>
                                      <w:b w:val="0"/>
                                      <w:sz w:val="22"/>
                                      <w:szCs w:val="22"/>
                                      <w:lang w:eastAsia="zh-CN"/>
                                    </w:rPr>
                                  </w:pPr>
                                  <w:r w:rsidRPr="004B1E35">
                                    <w:rPr>
                                      <w:rFonts w:ascii="Times New Roman" w:hAnsi="Times New Roman"/>
                                      <w:b w:val="0"/>
                                      <w:sz w:val="22"/>
                                      <w:szCs w:val="22"/>
                                      <w:lang w:eastAsia="zh-CN"/>
                                    </w:rPr>
                                    <w:t>CSI fields</w:t>
                                  </w:r>
                                </w:p>
                              </w:tc>
                            </w:tr>
                            <w:tr w:rsidR="00384AC2" w:rsidRPr="004B1E35" w14:paraId="7A522AF0" w14:textId="77777777" w:rsidTr="009924B4">
                              <w:trPr>
                                <w:jc w:val="center"/>
                              </w:trPr>
                              <w:tc>
                                <w:tcPr>
                                  <w:tcW w:w="1512" w:type="dxa"/>
                                  <w:vMerge w:val="restart"/>
                                  <w:vAlign w:val="center"/>
                                </w:tcPr>
                                <w:p w14:paraId="4447632B" w14:textId="77777777" w:rsidR="00384AC2" w:rsidRPr="004B1E35" w:rsidRDefault="00384AC2" w:rsidP="0072327E">
                                  <w:pPr>
                                    <w:pStyle w:val="TAC"/>
                                    <w:rPr>
                                      <w:sz w:val="22"/>
                                      <w:szCs w:val="22"/>
                                      <w:lang w:eastAsia="zh-CN"/>
                                    </w:rPr>
                                  </w:pPr>
                                  <w:r w:rsidRPr="004B1E35">
                                    <w:rPr>
                                      <w:sz w:val="22"/>
                                      <w:szCs w:val="22"/>
                                      <w:lang w:eastAsia="zh-CN"/>
                                    </w:rPr>
                                    <w:t>CSI report #n</w:t>
                                  </w:r>
                                </w:p>
                              </w:tc>
                              <w:tc>
                                <w:tcPr>
                                  <w:tcW w:w="3019" w:type="dxa"/>
                                  <w:vAlign w:val="center"/>
                                </w:tcPr>
                                <w:p w14:paraId="01B43B43" w14:textId="77777777" w:rsidR="00384AC2" w:rsidRPr="004B1E35" w:rsidRDefault="00384AC2" w:rsidP="0072327E">
                                  <w:pPr>
                                    <w:pStyle w:val="TAC"/>
                                    <w:rPr>
                                      <w:sz w:val="22"/>
                                      <w:szCs w:val="22"/>
                                      <w:lang w:eastAsia="zh-CN"/>
                                    </w:rPr>
                                  </w:pPr>
                                  <w:r w:rsidRPr="004B1E35">
                                    <w:rPr>
                                      <w:sz w:val="22"/>
                                      <w:szCs w:val="22"/>
                                      <w:lang w:eastAsia="zh-CN"/>
                                    </w:rPr>
                                    <w:t>CRI or SSBRI #1, if reported</w:t>
                                  </w:r>
                                </w:p>
                              </w:tc>
                            </w:tr>
                            <w:tr w:rsidR="00384AC2" w:rsidRPr="004B1E35" w14:paraId="5A0D06E9" w14:textId="77777777" w:rsidTr="009924B4">
                              <w:trPr>
                                <w:jc w:val="center"/>
                              </w:trPr>
                              <w:tc>
                                <w:tcPr>
                                  <w:tcW w:w="1512" w:type="dxa"/>
                                  <w:vMerge/>
                                  <w:vAlign w:val="center"/>
                                </w:tcPr>
                                <w:p w14:paraId="3D4642D5" w14:textId="77777777" w:rsidR="00384AC2" w:rsidRPr="004B1E35" w:rsidRDefault="00384AC2" w:rsidP="0072327E">
                                  <w:pPr>
                                    <w:pStyle w:val="TAC"/>
                                    <w:rPr>
                                      <w:sz w:val="22"/>
                                      <w:szCs w:val="22"/>
                                      <w:lang w:eastAsia="zh-CN"/>
                                    </w:rPr>
                                  </w:pPr>
                                </w:p>
                              </w:tc>
                              <w:tc>
                                <w:tcPr>
                                  <w:tcW w:w="3019" w:type="dxa"/>
                                  <w:vAlign w:val="center"/>
                                </w:tcPr>
                                <w:p w14:paraId="4B7EC9B5" w14:textId="77777777" w:rsidR="00384AC2" w:rsidRPr="004B1E35" w:rsidRDefault="00384AC2" w:rsidP="0072327E">
                                  <w:pPr>
                                    <w:pStyle w:val="TAC"/>
                                    <w:rPr>
                                      <w:sz w:val="22"/>
                                      <w:szCs w:val="22"/>
                                      <w:lang w:eastAsia="zh-CN"/>
                                    </w:rPr>
                                  </w:pPr>
                                  <w:r w:rsidRPr="004B1E35">
                                    <w:rPr>
                                      <w:sz w:val="22"/>
                                      <w:szCs w:val="22"/>
                                      <w:lang w:eastAsia="zh-CN"/>
                                    </w:rPr>
                                    <w:t>CRI or SSBRI #2, if reported</w:t>
                                  </w:r>
                                </w:p>
                              </w:tc>
                            </w:tr>
                            <w:tr w:rsidR="00384AC2" w:rsidRPr="004B1E35" w14:paraId="24B3BB14" w14:textId="77777777" w:rsidTr="009924B4">
                              <w:trPr>
                                <w:jc w:val="center"/>
                              </w:trPr>
                              <w:tc>
                                <w:tcPr>
                                  <w:tcW w:w="1512" w:type="dxa"/>
                                  <w:vMerge/>
                                  <w:vAlign w:val="center"/>
                                </w:tcPr>
                                <w:p w14:paraId="40CEF089" w14:textId="77777777" w:rsidR="00384AC2" w:rsidRPr="004B1E35" w:rsidRDefault="00384AC2" w:rsidP="0072327E">
                                  <w:pPr>
                                    <w:pStyle w:val="TAC"/>
                                    <w:rPr>
                                      <w:sz w:val="22"/>
                                      <w:szCs w:val="22"/>
                                      <w:lang w:eastAsia="zh-CN"/>
                                    </w:rPr>
                                  </w:pPr>
                                </w:p>
                              </w:tc>
                              <w:tc>
                                <w:tcPr>
                                  <w:tcW w:w="3019" w:type="dxa"/>
                                  <w:vAlign w:val="center"/>
                                </w:tcPr>
                                <w:p w14:paraId="5DEE9414" w14:textId="77777777" w:rsidR="00384AC2" w:rsidRPr="004B1E35" w:rsidRDefault="00384AC2" w:rsidP="0072327E">
                                  <w:pPr>
                                    <w:pStyle w:val="TAC"/>
                                    <w:rPr>
                                      <w:sz w:val="22"/>
                                      <w:szCs w:val="22"/>
                                      <w:lang w:eastAsia="zh-CN"/>
                                    </w:rPr>
                                  </w:pPr>
                                  <w:r w:rsidRPr="004B1E35">
                                    <w:rPr>
                                      <w:sz w:val="22"/>
                                      <w:szCs w:val="22"/>
                                      <w:lang w:eastAsia="zh-CN"/>
                                    </w:rPr>
                                    <w:t>CRI or SSBRI #3, if reported</w:t>
                                  </w:r>
                                </w:p>
                              </w:tc>
                            </w:tr>
                            <w:tr w:rsidR="00384AC2" w:rsidRPr="004B1E35" w14:paraId="48EAB63C" w14:textId="77777777" w:rsidTr="009924B4">
                              <w:trPr>
                                <w:jc w:val="center"/>
                              </w:trPr>
                              <w:tc>
                                <w:tcPr>
                                  <w:tcW w:w="1512" w:type="dxa"/>
                                  <w:vMerge/>
                                  <w:vAlign w:val="center"/>
                                </w:tcPr>
                                <w:p w14:paraId="1E1CB2C1" w14:textId="77777777" w:rsidR="00384AC2" w:rsidRPr="004B1E35" w:rsidRDefault="00384AC2" w:rsidP="0072327E">
                                  <w:pPr>
                                    <w:pStyle w:val="TAC"/>
                                    <w:rPr>
                                      <w:sz w:val="22"/>
                                      <w:szCs w:val="22"/>
                                      <w:lang w:eastAsia="zh-CN"/>
                                    </w:rPr>
                                  </w:pPr>
                                </w:p>
                              </w:tc>
                              <w:tc>
                                <w:tcPr>
                                  <w:tcW w:w="3019" w:type="dxa"/>
                                  <w:vAlign w:val="center"/>
                                </w:tcPr>
                                <w:p w14:paraId="4E024A56" w14:textId="77777777" w:rsidR="00384AC2" w:rsidRPr="004B1E35" w:rsidRDefault="00384AC2" w:rsidP="0072327E">
                                  <w:pPr>
                                    <w:pStyle w:val="TAC"/>
                                    <w:rPr>
                                      <w:sz w:val="22"/>
                                      <w:szCs w:val="22"/>
                                      <w:lang w:eastAsia="zh-CN"/>
                                    </w:rPr>
                                  </w:pPr>
                                  <w:r w:rsidRPr="004B1E35">
                                    <w:rPr>
                                      <w:sz w:val="22"/>
                                      <w:szCs w:val="22"/>
                                      <w:lang w:eastAsia="zh-CN"/>
                                    </w:rPr>
                                    <w:t>CRI or SSBRI #4, if reported</w:t>
                                  </w:r>
                                </w:p>
                              </w:tc>
                            </w:tr>
                            <w:tr w:rsidR="00384AC2" w:rsidRPr="004B1E35" w14:paraId="24768DD1" w14:textId="77777777" w:rsidTr="009924B4">
                              <w:trPr>
                                <w:jc w:val="center"/>
                              </w:trPr>
                              <w:tc>
                                <w:tcPr>
                                  <w:tcW w:w="1512" w:type="dxa"/>
                                  <w:vMerge/>
                                  <w:vAlign w:val="center"/>
                                </w:tcPr>
                                <w:p w14:paraId="6F5DF256" w14:textId="77777777" w:rsidR="00384AC2" w:rsidRPr="004B1E35" w:rsidRDefault="00384AC2" w:rsidP="0072327E">
                                  <w:pPr>
                                    <w:pStyle w:val="TAC"/>
                                    <w:rPr>
                                      <w:sz w:val="22"/>
                                      <w:szCs w:val="22"/>
                                      <w:lang w:eastAsia="zh-CN"/>
                                    </w:rPr>
                                  </w:pPr>
                                </w:p>
                              </w:tc>
                              <w:tc>
                                <w:tcPr>
                                  <w:tcW w:w="3019" w:type="dxa"/>
                                  <w:vAlign w:val="center"/>
                                </w:tcPr>
                                <w:p w14:paraId="0226C595" w14:textId="77777777" w:rsidR="00384AC2" w:rsidRPr="004B1E35" w:rsidRDefault="00384AC2" w:rsidP="0072327E">
                                  <w:pPr>
                                    <w:pStyle w:val="TAC"/>
                                    <w:rPr>
                                      <w:sz w:val="22"/>
                                      <w:szCs w:val="22"/>
                                      <w:lang w:eastAsia="zh-CN"/>
                                    </w:rPr>
                                  </w:pPr>
                                  <w:r w:rsidRPr="004B1E35">
                                    <w:rPr>
                                      <w:sz w:val="22"/>
                                      <w:szCs w:val="22"/>
                                      <w:lang w:eastAsia="zh-CN"/>
                                    </w:rPr>
                                    <w:t>SINR #1, if reported</w:t>
                                  </w:r>
                                </w:p>
                              </w:tc>
                            </w:tr>
                            <w:tr w:rsidR="00384AC2" w:rsidRPr="004B1E35" w14:paraId="67FDA9B9" w14:textId="77777777" w:rsidTr="009924B4">
                              <w:trPr>
                                <w:trHeight w:val="624"/>
                                <w:jc w:val="center"/>
                              </w:trPr>
                              <w:tc>
                                <w:tcPr>
                                  <w:tcW w:w="1512" w:type="dxa"/>
                                  <w:vMerge/>
                                  <w:vAlign w:val="center"/>
                                </w:tcPr>
                                <w:p w14:paraId="732B569A" w14:textId="77777777" w:rsidR="00384AC2" w:rsidRPr="004B1E35" w:rsidRDefault="00384AC2" w:rsidP="0072327E">
                                  <w:pPr>
                                    <w:pStyle w:val="TAC"/>
                                    <w:rPr>
                                      <w:sz w:val="22"/>
                                      <w:szCs w:val="22"/>
                                      <w:lang w:eastAsia="zh-CN"/>
                                    </w:rPr>
                                  </w:pPr>
                                </w:p>
                              </w:tc>
                              <w:tc>
                                <w:tcPr>
                                  <w:tcW w:w="3019" w:type="dxa"/>
                                  <w:vAlign w:val="center"/>
                                </w:tcPr>
                                <w:p w14:paraId="60A65452" w14:textId="77777777" w:rsidR="00384AC2" w:rsidRPr="004B1E35" w:rsidRDefault="00384AC2" w:rsidP="0072327E">
                                  <w:pPr>
                                    <w:pStyle w:val="TAC"/>
                                    <w:rPr>
                                      <w:sz w:val="22"/>
                                      <w:szCs w:val="22"/>
                                      <w:lang w:eastAsia="zh-CN"/>
                                    </w:rPr>
                                  </w:pPr>
                                  <w:r w:rsidRPr="004B1E35">
                                    <w:rPr>
                                      <w:sz w:val="22"/>
                                      <w:szCs w:val="22"/>
                                      <w:lang w:eastAsia="zh-CN"/>
                                    </w:rPr>
                                    <w:t>Differential SINR #2, if reported</w:t>
                                  </w:r>
                                </w:p>
                              </w:tc>
                            </w:tr>
                            <w:tr w:rsidR="00384AC2" w:rsidRPr="004B1E35" w14:paraId="1B230F6D" w14:textId="77777777" w:rsidTr="009924B4">
                              <w:trPr>
                                <w:jc w:val="center"/>
                              </w:trPr>
                              <w:tc>
                                <w:tcPr>
                                  <w:tcW w:w="1512" w:type="dxa"/>
                                  <w:vMerge/>
                                  <w:vAlign w:val="center"/>
                                </w:tcPr>
                                <w:p w14:paraId="0965198B" w14:textId="77777777" w:rsidR="00384AC2" w:rsidRPr="004B1E35" w:rsidRDefault="00384AC2" w:rsidP="0072327E">
                                  <w:pPr>
                                    <w:pStyle w:val="TAC"/>
                                    <w:rPr>
                                      <w:sz w:val="22"/>
                                      <w:szCs w:val="22"/>
                                      <w:lang w:eastAsia="zh-CN"/>
                                    </w:rPr>
                                  </w:pPr>
                                </w:p>
                              </w:tc>
                              <w:tc>
                                <w:tcPr>
                                  <w:tcW w:w="3019" w:type="dxa"/>
                                  <w:vAlign w:val="center"/>
                                </w:tcPr>
                                <w:p w14:paraId="06919C3A" w14:textId="77777777" w:rsidR="00384AC2" w:rsidRPr="004B1E35" w:rsidRDefault="00384AC2" w:rsidP="0072327E">
                                  <w:pPr>
                                    <w:pStyle w:val="TAC"/>
                                    <w:rPr>
                                      <w:sz w:val="22"/>
                                      <w:szCs w:val="22"/>
                                      <w:lang w:eastAsia="zh-CN"/>
                                    </w:rPr>
                                  </w:pPr>
                                  <w:r w:rsidRPr="004B1E35">
                                    <w:rPr>
                                      <w:sz w:val="22"/>
                                      <w:szCs w:val="22"/>
                                      <w:lang w:eastAsia="zh-CN"/>
                                    </w:rPr>
                                    <w:t>Differential SINR #3, if reported</w:t>
                                  </w:r>
                                </w:p>
                              </w:tc>
                            </w:tr>
                            <w:tr w:rsidR="00384AC2" w:rsidRPr="004B1E35" w14:paraId="44B53B4B" w14:textId="77777777" w:rsidTr="009924B4">
                              <w:trPr>
                                <w:jc w:val="center"/>
                              </w:trPr>
                              <w:tc>
                                <w:tcPr>
                                  <w:tcW w:w="1512" w:type="dxa"/>
                                  <w:vMerge/>
                                  <w:vAlign w:val="center"/>
                                </w:tcPr>
                                <w:p w14:paraId="2B137E79" w14:textId="77777777" w:rsidR="00384AC2" w:rsidRPr="004B1E35" w:rsidRDefault="00384AC2" w:rsidP="0072327E">
                                  <w:pPr>
                                    <w:pStyle w:val="TAC"/>
                                    <w:rPr>
                                      <w:sz w:val="22"/>
                                      <w:szCs w:val="22"/>
                                      <w:lang w:eastAsia="zh-CN"/>
                                    </w:rPr>
                                  </w:pPr>
                                </w:p>
                              </w:tc>
                              <w:tc>
                                <w:tcPr>
                                  <w:tcW w:w="3019" w:type="dxa"/>
                                  <w:vAlign w:val="center"/>
                                </w:tcPr>
                                <w:p w14:paraId="25E7B270" w14:textId="77777777" w:rsidR="00384AC2" w:rsidRPr="004B1E35" w:rsidRDefault="00384AC2" w:rsidP="0072327E">
                                  <w:pPr>
                                    <w:pStyle w:val="TAC"/>
                                    <w:rPr>
                                      <w:sz w:val="22"/>
                                      <w:szCs w:val="22"/>
                                      <w:lang w:eastAsia="zh-CN"/>
                                    </w:rPr>
                                  </w:pPr>
                                  <w:r w:rsidRPr="004B1E35">
                                    <w:rPr>
                                      <w:sz w:val="22"/>
                                      <w:szCs w:val="22"/>
                                      <w:lang w:eastAsia="zh-CN"/>
                                    </w:rPr>
                                    <w:t>Differential SINR #4, if reported</w:t>
                                  </w:r>
                                </w:p>
                              </w:tc>
                            </w:tr>
                          </w:tbl>
                          <w:p w14:paraId="77B08675" w14:textId="77777777" w:rsidR="00384AC2" w:rsidRPr="004B1E35" w:rsidRDefault="00384AC2" w:rsidP="0072327E">
                            <w:pPr>
                              <w:pStyle w:val="0Maintext"/>
                              <w:spacing w:after="0" w:afterAutospacing="0" w:line="240" w:lineRule="auto"/>
                              <w:ind w:firstLine="0"/>
                              <w:rPr>
                                <w:rFonts w:cs="Times New Roman"/>
                                <w:sz w:val="22"/>
                                <w:szCs w:val="22"/>
                                <w:lang w:val="en-US" w:eastAsia="zh-CN"/>
                              </w:rPr>
                            </w:pPr>
                          </w:p>
                          <w:p w14:paraId="4A232B04"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FFS: range and step size of differential SINR</w:t>
                            </w:r>
                          </w:p>
                          <w:p w14:paraId="423623AD"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Differential SINR #N is determined based on the difference between measured SINR corresponding to the CRI/SSBRI #N and the measured SINR corresponding to CRI/SSBRI #1</w:t>
                            </w:r>
                          </w:p>
                          <w:p w14:paraId="32037AEA"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The SINR #1 is the largest SINR among reported SINRs</w:t>
                            </w:r>
                          </w:p>
                          <w:p w14:paraId="4A8F3F65"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The range of SINR is [-23, 40] dB</w:t>
                            </w:r>
                          </w:p>
                          <w:p w14:paraId="373F0DEC" w14:textId="7ECA79B0" w:rsidR="00384AC2" w:rsidRPr="0072327E" w:rsidRDefault="00384AC2" w:rsidP="0072327E">
                            <w:pPr>
                              <w:pStyle w:val="0Maintext"/>
                              <w:numPr>
                                <w:ilvl w:val="1"/>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The SINR is quantized based on what is specified in 38.133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78D21A" id="Text Box 5" o:spid="_x0000_s1032" type="#_x0000_t202" style="width:481.5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" fillcolor="white [3201]" strokeweight=".5pt">
                <v:textbox style="mso-fit-shape-to-text:t">
                  <w:txbxContent>
                    <w:p w14:paraId="484F0833" w14:textId="77777777" w:rsidR="00384AC2" w:rsidRPr="004B1E35" w:rsidRDefault="00384AC2" w:rsidP="0072327E">
                      <w:pPr>
                        <w:rPr>
                          <w:b/>
                          <w:bCs/>
                          <w:szCs w:val="22"/>
                          <w:highlight w:val="green"/>
                          <w:lang w:val="en-US" w:eastAsia="x-none"/>
                        </w:rPr>
                      </w:pPr>
                      <w:r w:rsidRPr="004B1E35">
                        <w:rPr>
                          <w:b/>
                          <w:bCs/>
                          <w:szCs w:val="22"/>
                          <w:highlight w:val="green"/>
                          <w:lang w:val="en-US" w:eastAsia="x-none"/>
                        </w:rPr>
                        <w:t>Agreement</w:t>
                      </w:r>
                    </w:p>
                    <w:p w14:paraId="1AFA7967" w14:textId="77777777" w:rsidR="00384AC2" w:rsidRPr="004B1E35" w:rsidRDefault="00384AC2" w:rsidP="0072327E">
                      <w:pPr>
                        <w:pStyle w:val="0Maintext"/>
                        <w:spacing w:after="0" w:afterAutospacing="0" w:line="240" w:lineRule="auto"/>
                        <w:ind w:firstLine="0"/>
                        <w:rPr>
                          <w:rFonts w:cs="Times New Roman"/>
                          <w:sz w:val="22"/>
                          <w:szCs w:val="22"/>
                          <w:lang w:val="en-US" w:eastAsia="zh-CN"/>
                        </w:rPr>
                      </w:pPr>
                      <w:r w:rsidRPr="004B1E35">
                        <w:rPr>
                          <w:rFonts w:cs="Times New Roman"/>
                          <w:sz w:val="22"/>
                          <w:szCs w:val="22"/>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384AC2" w:rsidRPr="004B1E35" w14:paraId="0A3C3EF1" w14:textId="77777777" w:rsidTr="009924B4">
                        <w:trPr>
                          <w:trHeight w:val="641"/>
                          <w:jc w:val="center"/>
                        </w:trPr>
                        <w:tc>
                          <w:tcPr>
                            <w:tcW w:w="1512" w:type="dxa"/>
                            <w:shd w:val="clear" w:color="auto" w:fill="E0E0E0"/>
                            <w:vAlign w:val="center"/>
                          </w:tcPr>
                          <w:p w14:paraId="161014F9" w14:textId="77777777" w:rsidR="00384AC2" w:rsidRPr="004B1E35" w:rsidRDefault="00384AC2" w:rsidP="0072327E">
                            <w:pPr>
                              <w:pStyle w:val="TAH"/>
                              <w:rPr>
                                <w:rFonts w:ascii="Times New Roman" w:hAnsi="Times New Roman"/>
                                <w:b w:val="0"/>
                                <w:sz w:val="22"/>
                                <w:szCs w:val="22"/>
                                <w:lang w:eastAsia="zh-CN"/>
                              </w:rPr>
                            </w:pPr>
                            <w:r w:rsidRPr="004B1E35">
                              <w:rPr>
                                <w:rFonts w:ascii="Times New Roman" w:hAnsi="Times New Roman"/>
                                <w:b w:val="0"/>
                                <w:sz w:val="22"/>
                                <w:szCs w:val="22"/>
                                <w:lang w:eastAsia="zh-CN"/>
                              </w:rPr>
                              <w:t>CSI report number</w:t>
                            </w:r>
                          </w:p>
                        </w:tc>
                        <w:tc>
                          <w:tcPr>
                            <w:tcW w:w="3019" w:type="dxa"/>
                            <w:shd w:val="clear" w:color="auto" w:fill="E0E0E0"/>
                            <w:vAlign w:val="center"/>
                          </w:tcPr>
                          <w:p w14:paraId="020162E9" w14:textId="77777777" w:rsidR="00384AC2" w:rsidRPr="004B1E35" w:rsidRDefault="00384AC2" w:rsidP="0072327E">
                            <w:pPr>
                              <w:pStyle w:val="TAH"/>
                              <w:rPr>
                                <w:rFonts w:ascii="Times New Roman" w:hAnsi="Times New Roman"/>
                                <w:b w:val="0"/>
                                <w:sz w:val="22"/>
                                <w:szCs w:val="22"/>
                                <w:lang w:eastAsia="zh-CN"/>
                              </w:rPr>
                            </w:pPr>
                            <w:r w:rsidRPr="004B1E35">
                              <w:rPr>
                                <w:rFonts w:ascii="Times New Roman" w:hAnsi="Times New Roman"/>
                                <w:b w:val="0"/>
                                <w:sz w:val="22"/>
                                <w:szCs w:val="22"/>
                                <w:lang w:eastAsia="zh-CN"/>
                              </w:rPr>
                              <w:t>CSI fields</w:t>
                            </w:r>
                          </w:p>
                        </w:tc>
                      </w:tr>
                      <w:tr w:rsidR="00384AC2" w:rsidRPr="004B1E35" w14:paraId="7A522AF0" w14:textId="77777777" w:rsidTr="009924B4">
                        <w:trPr>
                          <w:jc w:val="center"/>
                        </w:trPr>
                        <w:tc>
                          <w:tcPr>
                            <w:tcW w:w="1512" w:type="dxa"/>
                            <w:vMerge w:val="restart"/>
                            <w:vAlign w:val="center"/>
                          </w:tcPr>
                          <w:p w14:paraId="4447632B" w14:textId="77777777" w:rsidR="00384AC2" w:rsidRPr="004B1E35" w:rsidRDefault="00384AC2" w:rsidP="0072327E">
                            <w:pPr>
                              <w:pStyle w:val="TAC"/>
                              <w:rPr>
                                <w:sz w:val="22"/>
                                <w:szCs w:val="22"/>
                                <w:lang w:eastAsia="zh-CN"/>
                              </w:rPr>
                            </w:pPr>
                            <w:r w:rsidRPr="004B1E35">
                              <w:rPr>
                                <w:sz w:val="22"/>
                                <w:szCs w:val="22"/>
                                <w:lang w:eastAsia="zh-CN"/>
                              </w:rPr>
                              <w:t>CSI report #n</w:t>
                            </w:r>
                          </w:p>
                        </w:tc>
                        <w:tc>
                          <w:tcPr>
                            <w:tcW w:w="3019" w:type="dxa"/>
                            <w:vAlign w:val="center"/>
                          </w:tcPr>
                          <w:p w14:paraId="01B43B43" w14:textId="77777777" w:rsidR="00384AC2" w:rsidRPr="004B1E35" w:rsidRDefault="00384AC2" w:rsidP="0072327E">
                            <w:pPr>
                              <w:pStyle w:val="TAC"/>
                              <w:rPr>
                                <w:sz w:val="22"/>
                                <w:szCs w:val="22"/>
                                <w:lang w:eastAsia="zh-CN"/>
                              </w:rPr>
                            </w:pPr>
                            <w:r w:rsidRPr="004B1E35">
                              <w:rPr>
                                <w:sz w:val="22"/>
                                <w:szCs w:val="22"/>
                                <w:lang w:eastAsia="zh-CN"/>
                              </w:rPr>
                              <w:t>CRI or SSBRI #1, if reported</w:t>
                            </w:r>
                          </w:p>
                        </w:tc>
                      </w:tr>
                      <w:tr w:rsidR="00384AC2" w:rsidRPr="004B1E35" w14:paraId="5A0D06E9" w14:textId="77777777" w:rsidTr="009924B4">
                        <w:trPr>
                          <w:jc w:val="center"/>
                        </w:trPr>
                        <w:tc>
                          <w:tcPr>
                            <w:tcW w:w="1512" w:type="dxa"/>
                            <w:vMerge/>
                            <w:vAlign w:val="center"/>
                          </w:tcPr>
                          <w:p w14:paraId="3D4642D5" w14:textId="77777777" w:rsidR="00384AC2" w:rsidRPr="004B1E35" w:rsidRDefault="00384AC2" w:rsidP="0072327E">
                            <w:pPr>
                              <w:pStyle w:val="TAC"/>
                              <w:rPr>
                                <w:sz w:val="22"/>
                                <w:szCs w:val="22"/>
                                <w:lang w:eastAsia="zh-CN"/>
                              </w:rPr>
                            </w:pPr>
                          </w:p>
                        </w:tc>
                        <w:tc>
                          <w:tcPr>
                            <w:tcW w:w="3019" w:type="dxa"/>
                            <w:vAlign w:val="center"/>
                          </w:tcPr>
                          <w:p w14:paraId="4B7EC9B5" w14:textId="77777777" w:rsidR="00384AC2" w:rsidRPr="004B1E35" w:rsidRDefault="00384AC2" w:rsidP="0072327E">
                            <w:pPr>
                              <w:pStyle w:val="TAC"/>
                              <w:rPr>
                                <w:sz w:val="22"/>
                                <w:szCs w:val="22"/>
                                <w:lang w:eastAsia="zh-CN"/>
                              </w:rPr>
                            </w:pPr>
                            <w:r w:rsidRPr="004B1E35">
                              <w:rPr>
                                <w:sz w:val="22"/>
                                <w:szCs w:val="22"/>
                                <w:lang w:eastAsia="zh-CN"/>
                              </w:rPr>
                              <w:t>CRI or SSBRI #2, if reported</w:t>
                            </w:r>
                          </w:p>
                        </w:tc>
                      </w:tr>
                      <w:tr w:rsidR="00384AC2" w:rsidRPr="004B1E35" w14:paraId="24B3BB14" w14:textId="77777777" w:rsidTr="009924B4">
                        <w:trPr>
                          <w:jc w:val="center"/>
                        </w:trPr>
                        <w:tc>
                          <w:tcPr>
                            <w:tcW w:w="1512" w:type="dxa"/>
                            <w:vMerge/>
                            <w:vAlign w:val="center"/>
                          </w:tcPr>
                          <w:p w14:paraId="40CEF089" w14:textId="77777777" w:rsidR="00384AC2" w:rsidRPr="004B1E35" w:rsidRDefault="00384AC2" w:rsidP="0072327E">
                            <w:pPr>
                              <w:pStyle w:val="TAC"/>
                              <w:rPr>
                                <w:sz w:val="22"/>
                                <w:szCs w:val="22"/>
                                <w:lang w:eastAsia="zh-CN"/>
                              </w:rPr>
                            </w:pPr>
                          </w:p>
                        </w:tc>
                        <w:tc>
                          <w:tcPr>
                            <w:tcW w:w="3019" w:type="dxa"/>
                            <w:vAlign w:val="center"/>
                          </w:tcPr>
                          <w:p w14:paraId="5DEE9414" w14:textId="77777777" w:rsidR="00384AC2" w:rsidRPr="004B1E35" w:rsidRDefault="00384AC2" w:rsidP="0072327E">
                            <w:pPr>
                              <w:pStyle w:val="TAC"/>
                              <w:rPr>
                                <w:sz w:val="22"/>
                                <w:szCs w:val="22"/>
                                <w:lang w:eastAsia="zh-CN"/>
                              </w:rPr>
                            </w:pPr>
                            <w:r w:rsidRPr="004B1E35">
                              <w:rPr>
                                <w:sz w:val="22"/>
                                <w:szCs w:val="22"/>
                                <w:lang w:eastAsia="zh-CN"/>
                              </w:rPr>
                              <w:t>CRI or SSBRI #3, if reported</w:t>
                            </w:r>
                          </w:p>
                        </w:tc>
                      </w:tr>
                      <w:tr w:rsidR="00384AC2" w:rsidRPr="004B1E35" w14:paraId="48EAB63C" w14:textId="77777777" w:rsidTr="009924B4">
                        <w:trPr>
                          <w:jc w:val="center"/>
                        </w:trPr>
                        <w:tc>
                          <w:tcPr>
                            <w:tcW w:w="1512" w:type="dxa"/>
                            <w:vMerge/>
                            <w:vAlign w:val="center"/>
                          </w:tcPr>
                          <w:p w14:paraId="1E1CB2C1" w14:textId="77777777" w:rsidR="00384AC2" w:rsidRPr="004B1E35" w:rsidRDefault="00384AC2" w:rsidP="0072327E">
                            <w:pPr>
                              <w:pStyle w:val="TAC"/>
                              <w:rPr>
                                <w:sz w:val="22"/>
                                <w:szCs w:val="22"/>
                                <w:lang w:eastAsia="zh-CN"/>
                              </w:rPr>
                            </w:pPr>
                          </w:p>
                        </w:tc>
                        <w:tc>
                          <w:tcPr>
                            <w:tcW w:w="3019" w:type="dxa"/>
                            <w:vAlign w:val="center"/>
                          </w:tcPr>
                          <w:p w14:paraId="4E024A56" w14:textId="77777777" w:rsidR="00384AC2" w:rsidRPr="004B1E35" w:rsidRDefault="00384AC2" w:rsidP="0072327E">
                            <w:pPr>
                              <w:pStyle w:val="TAC"/>
                              <w:rPr>
                                <w:sz w:val="22"/>
                                <w:szCs w:val="22"/>
                                <w:lang w:eastAsia="zh-CN"/>
                              </w:rPr>
                            </w:pPr>
                            <w:r w:rsidRPr="004B1E35">
                              <w:rPr>
                                <w:sz w:val="22"/>
                                <w:szCs w:val="22"/>
                                <w:lang w:eastAsia="zh-CN"/>
                              </w:rPr>
                              <w:t>CRI or SSBRI #4, if reported</w:t>
                            </w:r>
                          </w:p>
                        </w:tc>
                      </w:tr>
                      <w:tr w:rsidR="00384AC2" w:rsidRPr="004B1E35" w14:paraId="24768DD1" w14:textId="77777777" w:rsidTr="009924B4">
                        <w:trPr>
                          <w:jc w:val="center"/>
                        </w:trPr>
                        <w:tc>
                          <w:tcPr>
                            <w:tcW w:w="1512" w:type="dxa"/>
                            <w:vMerge/>
                            <w:vAlign w:val="center"/>
                          </w:tcPr>
                          <w:p w14:paraId="6F5DF256" w14:textId="77777777" w:rsidR="00384AC2" w:rsidRPr="004B1E35" w:rsidRDefault="00384AC2" w:rsidP="0072327E">
                            <w:pPr>
                              <w:pStyle w:val="TAC"/>
                              <w:rPr>
                                <w:sz w:val="22"/>
                                <w:szCs w:val="22"/>
                                <w:lang w:eastAsia="zh-CN"/>
                              </w:rPr>
                            </w:pPr>
                          </w:p>
                        </w:tc>
                        <w:tc>
                          <w:tcPr>
                            <w:tcW w:w="3019" w:type="dxa"/>
                            <w:vAlign w:val="center"/>
                          </w:tcPr>
                          <w:p w14:paraId="0226C595" w14:textId="77777777" w:rsidR="00384AC2" w:rsidRPr="004B1E35" w:rsidRDefault="00384AC2" w:rsidP="0072327E">
                            <w:pPr>
                              <w:pStyle w:val="TAC"/>
                              <w:rPr>
                                <w:sz w:val="22"/>
                                <w:szCs w:val="22"/>
                                <w:lang w:eastAsia="zh-CN"/>
                              </w:rPr>
                            </w:pPr>
                            <w:r w:rsidRPr="004B1E35">
                              <w:rPr>
                                <w:sz w:val="22"/>
                                <w:szCs w:val="22"/>
                                <w:lang w:eastAsia="zh-CN"/>
                              </w:rPr>
                              <w:t>SINR #1, if reported</w:t>
                            </w:r>
                          </w:p>
                        </w:tc>
                      </w:tr>
                      <w:tr w:rsidR="00384AC2" w:rsidRPr="004B1E35" w14:paraId="67FDA9B9" w14:textId="77777777" w:rsidTr="009924B4">
                        <w:trPr>
                          <w:trHeight w:val="624"/>
                          <w:jc w:val="center"/>
                        </w:trPr>
                        <w:tc>
                          <w:tcPr>
                            <w:tcW w:w="1512" w:type="dxa"/>
                            <w:vMerge/>
                            <w:vAlign w:val="center"/>
                          </w:tcPr>
                          <w:p w14:paraId="732B569A" w14:textId="77777777" w:rsidR="00384AC2" w:rsidRPr="004B1E35" w:rsidRDefault="00384AC2" w:rsidP="0072327E">
                            <w:pPr>
                              <w:pStyle w:val="TAC"/>
                              <w:rPr>
                                <w:sz w:val="22"/>
                                <w:szCs w:val="22"/>
                                <w:lang w:eastAsia="zh-CN"/>
                              </w:rPr>
                            </w:pPr>
                          </w:p>
                        </w:tc>
                        <w:tc>
                          <w:tcPr>
                            <w:tcW w:w="3019" w:type="dxa"/>
                            <w:vAlign w:val="center"/>
                          </w:tcPr>
                          <w:p w14:paraId="60A65452" w14:textId="77777777" w:rsidR="00384AC2" w:rsidRPr="004B1E35" w:rsidRDefault="00384AC2" w:rsidP="0072327E">
                            <w:pPr>
                              <w:pStyle w:val="TAC"/>
                              <w:rPr>
                                <w:sz w:val="22"/>
                                <w:szCs w:val="22"/>
                                <w:lang w:eastAsia="zh-CN"/>
                              </w:rPr>
                            </w:pPr>
                            <w:r w:rsidRPr="004B1E35">
                              <w:rPr>
                                <w:sz w:val="22"/>
                                <w:szCs w:val="22"/>
                                <w:lang w:eastAsia="zh-CN"/>
                              </w:rPr>
                              <w:t>Differential SINR #2, if reported</w:t>
                            </w:r>
                          </w:p>
                        </w:tc>
                      </w:tr>
                      <w:tr w:rsidR="00384AC2" w:rsidRPr="004B1E35" w14:paraId="1B230F6D" w14:textId="77777777" w:rsidTr="009924B4">
                        <w:trPr>
                          <w:jc w:val="center"/>
                        </w:trPr>
                        <w:tc>
                          <w:tcPr>
                            <w:tcW w:w="1512" w:type="dxa"/>
                            <w:vMerge/>
                            <w:vAlign w:val="center"/>
                          </w:tcPr>
                          <w:p w14:paraId="0965198B" w14:textId="77777777" w:rsidR="00384AC2" w:rsidRPr="004B1E35" w:rsidRDefault="00384AC2" w:rsidP="0072327E">
                            <w:pPr>
                              <w:pStyle w:val="TAC"/>
                              <w:rPr>
                                <w:sz w:val="22"/>
                                <w:szCs w:val="22"/>
                                <w:lang w:eastAsia="zh-CN"/>
                              </w:rPr>
                            </w:pPr>
                          </w:p>
                        </w:tc>
                        <w:tc>
                          <w:tcPr>
                            <w:tcW w:w="3019" w:type="dxa"/>
                            <w:vAlign w:val="center"/>
                          </w:tcPr>
                          <w:p w14:paraId="06919C3A" w14:textId="77777777" w:rsidR="00384AC2" w:rsidRPr="004B1E35" w:rsidRDefault="00384AC2" w:rsidP="0072327E">
                            <w:pPr>
                              <w:pStyle w:val="TAC"/>
                              <w:rPr>
                                <w:sz w:val="22"/>
                                <w:szCs w:val="22"/>
                                <w:lang w:eastAsia="zh-CN"/>
                              </w:rPr>
                            </w:pPr>
                            <w:r w:rsidRPr="004B1E35">
                              <w:rPr>
                                <w:sz w:val="22"/>
                                <w:szCs w:val="22"/>
                                <w:lang w:eastAsia="zh-CN"/>
                              </w:rPr>
                              <w:t>Differential SINR #3, if reported</w:t>
                            </w:r>
                          </w:p>
                        </w:tc>
                      </w:tr>
                      <w:tr w:rsidR="00384AC2" w:rsidRPr="004B1E35" w14:paraId="44B53B4B" w14:textId="77777777" w:rsidTr="009924B4">
                        <w:trPr>
                          <w:jc w:val="center"/>
                        </w:trPr>
                        <w:tc>
                          <w:tcPr>
                            <w:tcW w:w="1512" w:type="dxa"/>
                            <w:vMerge/>
                            <w:vAlign w:val="center"/>
                          </w:tcPr>
                          <w:p w14:paraId="2B137E79" w14:textId="77777777" w:rsidR="00384AC2" w:rsidRPr="004B1E35" w:rsidRDefault="00384AC2" w:rsidP="0072327E">
                            <w:pPr>
                              <w:pStyle w:val="TAC"/>
                              <w:rPr>
                                <w:sz w:val="22"/>
                                <w:szCs w:val="22"/>
                                <w:lang w:eastAsia="zh-CN"/>
                              </w:rPr>
                            </w:pPr>
                          </w:p>
                        </w:tc>
                        <w:tc>
                          <w:tcPr>
                            <w:tcW w:w="3019" w:type="dxa"/>
                            <w:vAlign w:val="center"/>
                          </w:tcPr>
                          <w:p w14:paraId="25E7B270" w14:textId="77777777" w:rsidR="00384AC2" w:rsidRPr="004B1E35" w:rsidRDefault="00384AC2" w:rsidP="0072327E">
                            <w:pPr>
                              <w:pStyle w:val="TAC"/>
                              <w:rPr>
                                <w:sz w:val="22"/>
                                <w:szCs w:val="22"/>
                                <w:lang w:eastAsia="zh-CN"/>
                              </w:rPr>
                            </w:pPr>
                            <w:r w:rsidRPr="004B1E35">
                              <w:rPr>
                                <w:sz w:val="22"/>
                                <w:szCs w:val="22"/>
                                <w:lang w:eastAsia="zh-CN"/>
                              </w:rPr>
                              <w:t>Differential SINR #4, if reported</w:t>
                            </w:r>
                          </w:p>
                        </w:tc>
                      </w:tr>
                    </w:tbl>
                    <w:p w14:paraId="77B08675" w14:textId="77777777" w:rsidR="00384AC2" w:rsidRPr="004B1E35" w:rsidRDefault="00384AC2" w:rsidP="0072327E">
                      <w:pPr>
                        <w:pStyle w:val="0Maintext"/>
                        <w:spacing w:after="0" w:afterAutospacing="0" w:line="240" w:lineRule="auto"/>
                        <w:ind w:firstLine="0"/>
                        <w:rPr>
                          <w:rFonts w:cs="Times New Roman"/>
                          <w:sz w:val="22"/>
                          <w:szCs w:val="22"/>
                          <w:lang w:val="en-US" w:eastAsia="zh-CN"/>
                        </w:rPr>
                      </w:pPr>
                    </w:p>
                    <w:p w14:paraId="4A232B04"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FFS: range and step size of differential SINR</w:t>
                      </w:r>
                    </w:p>
                    <w:p w14:paraId="423623AD"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Differential SINR #N is determined based on the difference between measured SINR corresponding to the CRI/SSBRI #N and the measured SINR corresponding to CRI/SSBRI #1</w:t>
                      </w:r>
                    </w:p>
                    <w:p w14:paraId="32037AEA"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The SINR #1 is the largest SINR among reported SINRs</w:t>
                      </w:r>
                    </w:p>
                    <w:p w14:paraId="4A8F3F65" w14:textId="77777777" w:rsidR="00384AC2" w:rsidRPr="004B1E35" w:rsidRDefault="00384AC2" w:rsidP="0072327E">
                      <w:pPr>
                        <w:pStyle w:val="0Maintext"/>
                        <w:numPr>
                          <w:ilvl w:val="0"/>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The range of SINR is [-23, 40] dB</w:t>
                      </w:r>
                    </w:p>
                    <w:p w14:paraId="373F0DEC" w14:textId="7ECA79B0" w:rsidR="00384AC2" w:rsidRPr="0072327E" w:rsidRDefault="00384AC2" w:rsidP="0072327E">
                      <w:pPr>
                        <w:pStyle w:val="0Maintext"/>
                        <w:numPr>
                          <w:ilvl w:val="1"/>
                          <w:numId w:val="27"/>
                        </w:numPr>
                        <w:spacing w:after="0" w:afterAutospacing="0" w:line="240" w:lineRule="auto"/>
                        <w:rPr>
                          <w:rFonts w:cs="Times New Roman"/>
                          <w:sz w:val="22"/>
                          <w:szCs w:val="22"/>
                          <w:lang w:val="en-US" w:eastAsia="zh-CN"/>
                        </w:rPr>
                      </w:pPr>
                      <w:r w:rsidRPr="004B1E35">
                        <w:rPr>
                          <w:rFonts w:cs="Times New Roman"/>
                          <w:sz w:val="22"/>
                          <w:szCs w:val="22"/>
                          <w:lang w:val="en-US" w:eastAsia="zh-CN"/>
                        </w:rPr>
                        <w:t>The SINR is quantized based on what is specified in 38.133</w:t>
                      </w:r>
                    </w:p>
                  </w:txbxContent>
                </v:textbox>
                <w10:anchorlock/>
              </v:shape>
            </w:pict>
          </mc:Fallback>
        </mc:AlternateContent>
      </w:r>
      <w:r>
        <w:t xml:space="preserve"> </w:t>
      </w:r>
    </w:p>
    <w:p w14:paraId="67304FC6" w14:textId="00134112" w:rsidR="00726056" w:rsidRDefault="00AE6120" w:rsidP="0072327E">
      <w:pPr>
        <w:pStyle w:val="BodyText"/>
      </w:pPr>
      <w:r>
        <w:t xml:space="preserve">The FFS in this agreement is related to the range and step size of the differential SINR. For reference, the range of the reported SINR (SINR #1) is [-23,40] dB, quantized in 0.5dB steps </w:t>
      </w:r>
      <w:r>
        <w:fldChar w:fldCharType="begin"/>
      </w:r>
      <w:r>
        <w:instrText xml:space="preserve"> REF _Ref20833724 \r \h </w:instrText>
      </w:r>
      <w:r>
        <w:fldChar w:fldCharType="separate"/>
      </w:r>
      <w:r w:rsidR="00104470">
        <w:t>[4]</w:t>
      </w:r>
      <w:r>
        <w:fldChar w:fldCharType="end"/>
      </w:r>
      <w:r>
        <w:t>. Since SINR#1 is quantized in 0.5dB steps, it would make sense to maintain that level of granularity also for the differential SINR:</w:t>
      </w:r>
    </w:p>
    <w:p w14:paraId="6EFF7129" w14:textId="3874EE11" w:rsidR="00726056" w:rsidRDefault="00726056" w:rsidP="00726056">
      <w:pPr>
        <w:pStyle w:val="Proposal"/>
      </w:pPr>
      <w:bookmarkStart w:id="34" w:name="_Toc21098176"/>
      <w:r>
        <w:t>The step size of the differential SINR is 0.5dB.</w:t>
      </w:r>
      <w:bookmarkEnd w:id="34"/>
    </w:p>
    <w:p w14:paraId="1BE4C511" w14:textId="31DC92CB" w:rsidR="00AF1DEC" w:rsidRDefault="00726056" w:rsidP="00726056">
      <w:pPr>
        <w:pStyle w:val="BodyText"/>
      </w:pPr>
      <w:r>
        <w:t>It would seem attractive to keep the reporting format of L1-SINR close to the reporting format of the L1-RSRP. This would mean that we use 4 bits to represent the differential SINR, and with 0.5dB step size, we can represent differential SINRs up to 8 dB</w:t>
      </w:r>
      <w:r w:rsidR="00AF1DEC">
        <w:t>, and with 5 bits we could represent differential SINRs up to 16dB</w:t>
      </w:r>
      <w:r>
        <w:t xml:space="preserve">. The question is if </w:t>
      </w:r>
      <w:r w:rsidR="00DC11D4">
        <w:t xml:space="preserve">8dB is </w:t>
      </w:r>
      <w:r w:rsidR="009B23E8">
        <w:t>large enough: with a differential SINR range of 8dB, it becomes impossible to, e.g., distinguish Tx beams that are 10 and 12dB weaker than the strongest beam.</w:t>
      </w:r>
      <w:r w:rsidR="00AF1DEC">
        <w:t xml:space="preserve"> Since the best beam can be as good as 40dB, beams that are even 15dB weaker would provide quite adequate performance and would be useful. Also, each differential SINR is accompanied by a CRI/SSBRI, which is represented by 6 bits. The overhead per reported beam is thus 10 or 11 bits, a rather small difference. It would seem unfortunate to prohibit reporting of useful information, especially since the total overhead difference is small. Hence, we propose</w:t>
      </w:r>
    </w:p>
    <w:p w14:paraId="5987CBBF" w14:textId="2838AEEF" w:rsidR="0072327E" w:rsidRDefault="00AF1DEC" w:rsidP="0072327E">
      <w:pPr>
        <w:pStyle w:val="Proposal"/>
      </w:pPr>
      <w:bookmarkStart w:id="35" w:name="_Toc21098177"/>
      <w:r>
        <w:t>Use 5 bits to represent the differential SINR</w:t>
      </w:r>
      <w:r w:rsidRPr="00A04F49">
        <w:t>.</w:t>
      </w:r>
      <w:bookmarkEnd w:id="35"/>
    </w:p>
    <w:p w14:paraId="1CBADCC3" w14:textId="6F5592D7" w:rsidR="0072327E" w:rsidRDefault="00C42DC9" w:rsidP="0072327E">
      <w:pPr>
        <w:pStyle w:val="BodyText"/>
      </w:pPr>
      <w:r>
        <w:t>The other</w:t>
      </w:r>
      <w:r w:rsidR="00371EC7">
        <w:t xml:space="preserve"> issue to discuss is </w:t>
      </w:r>
      <w:r w:rsidR="00E56894">
        <w:t>how to configure NZP-IMR</w:t>
      </w:r>
      <w:r w:rsidR="008448BA">
        <w:t>. A</w:t>
      </w:r>
      <w:r w:rsidR="00D204BB">
        <w:t>n email discussion has been carried</w:t>
      </w:r>
      <w:r w:rsidR="008448BA">
        <w:t xml:space="preserve"> out to clarify the available options. The configuration options are summarized below </w:t>
      </w:r>
    </w:p>
    <w:p w14:paraId="762621E5" w14:textId="77777777" w:rsidR="00EB33FF" w:rsidRDefault="00EB33FF" w:rsidP="00EB33FF">
      <w:pPr>
        <w:numPr>
          <w:ilvl w:val="0"/>
          <w:numId w:val="29"/>
        </w:numPr>
        <w:overflowPunct/>
        <w:autoSpaceDE/>
        <w:autoSpaceDN/>
        <w:adjustRightInd/>
        <w:spacing w:after="0"/>
        <w:textAlignment w:val="auto"/>
        <w:rPr>
          <w:lang w:eastAsia="sv-SE"/>
        </w:rPr>
      </w:pPr>
      <w:r>
        <w:rPr>
          <w:lang w:val="en-US"/>
        </w:rPr>
        <w:t>Option 1a: </w:t>
      </w:r>
      <w:bookmarkStart w:id="36" w:name="_Hlk20924289"/>
      <w:r>
        <w:rPr>
          <w:lang w:val="en-US"/>
        </w:rPr>
        <w:t>CMR and IMR are 1-to-1 mapped</w:t>
      </w:r>
    </w:p>
    <w:bookmarkEnd w:id="36"/>
    <w:p w14:paraId="2FEF3C7D" w14:textId="77777777" w:rsidR="00EB33FF" w:rsidRDefault="00EB33FF" w:rsidP="00EB33FF">
      <w:pPr>
        <w:numPr>
          <w:ilvl w:val="1"/>
          <w:numId w:val="30"/>
        </w:numPr>
        <w:overflowPunct/>
        <w:autoSpaceDE/>
        <w:autoSpaceDN/>
        <w:adjustRightInd/>
        <w:spacing w:after="0"/>
        <w:textAlignment w:val="auto"/>
      </w:pPr>
      <w:r>
        <w:rPr>
          <w:lang w:val="en-US"/>
        </w:rPr>
        <w:t>In a </w:t>
      </w:r>
      <w:r>
        <w:rPr>
          <w:rStyle w:val="Emphasis"/>
          <w:lang w:val="en-US"/>
        </w:rPr>
        <w:t>CSI-</w:t>
      </w:r>
      <w:proofErr w:type="spellStart"/>
      <w:r>
        <w:rPr>
          <w:rStyle w:val="Emphasis"/>
          <w:lang w:val="en-US"/>
        </w:rPr>
        <w:t>reportConfig</w:t>
      </w:r>
      <w:proofErr w:type="spellEnd"/>
      <w:r>
        <w:rPr>
          <w:lang w:val="en-US"/>
        </w:rPr>
        <w:t xml:space="preserve">, gNB configures a list of </w:t>
      </w:r>
      <w:proofErr w:type="gramStart"/>
      <w:r>
        <w:rPr>
          <w:lang w:val="en-US"/>
        </w:rPr>
        <w:t>N</w:t>
      </w:r>
      <w:proofErr w:type="gramEnd"/>
      <w:r>
        <w:rPr>
          <w:lang w:val="en-US"/>
        </w:rPr>
        <w:t xml:space="preserve"> CMR(s) and another list of N IMR(s), and they are 1:1 mapped</w:t>
      </w:r>
    </w:p>
    <w:p w14:paraId="07F04947" w14:textId="77777777" w:rsidR="00EB33FF" w:rsidRDefault="00EB33FF" w:rsidP="00EB33FF">
      <w:pPr>
        <w:numPr>
          <w:ilvl w:val="1"/>
          <w:numId w:val="30"/>
        </w:numPr>
        <w:overflowPunct/>
        <w:autoSpaceDE/>
        <w:autoSpaceDN/>
        <w:adjustRightInd/>
        <w:spacing w:after="0"/>
        <w:textAlignment w:val="auto"/>
      </w:pPr>
      <w:r>
        <w:rPr>
          <w:lang w:val="en-US"/>
        </w:rPr>
        <w:t>For each SINR, interference is measured based on each associated NZP-IMR only</w:t>
      </w:r>
    </w:p>
    <w:p w14:paraId="5234E0F7" w14:textId="77777777" w:rsidR="00EB33FF" w:rsidRDefault="00EB33FF" w:rsidP="00EB33FF">
      <w:pPr>
        <w:numPr>
          <w:ilvl w:val="0"/>
          <w:numId w:val="31"/>
        </w:numPr>
        <w:overflowPunct/>
        <w:autoSpaceDE/>
        <w:autoSpaceDN/>
        <w:adjustRightInd/>
        <w:spacing w:after="0"/>
        <w:textAlignment w:val="auto"/>
      </w:pPr>
      <w:r>
        <w:rPr>
          <w:lang w:val="en-US"/>
        </w:rPr>
        <w:t>Option 2a: 1 CMR can be mapped to 1 or more than 1 IMRs</w:t>
      </w:r>
    </w:p>
    <w:p w14:paraId="51A73DDF" w14:textId="77777777" w:rsidR="00EB33FF" w:rsidRDefault="00EB33FF" w:rsidP="00EB33FF">
      <w:pPr>
        <w:numPr>
          <w:ilvl w:val="1"/>
          <w:numId w:val="32"/>
        </w:numPr>
        <w:overflowPunct/>
        <w:autoSpaceDE/>
        <w:autoSpaceDN/>
        <w:adjustRightInd/>
        <w:spacing w:after="0"/>
        <w:textAlignment w:val="auto"/>
      </w:pPr>
      <w:r>
        <w:rPr>
          <w:lang w:val="en-US"/>
        </w:rPr>
        <w:t>In a </w:t>
      </w:r>
      <w:r>
        <w:rPr>
          <w:rStyle w:val="Emphasis"/>
          <w:lang w:val="en-US"/>
        </w:rPr>
        <w:t>CSI-</w:t>
      </w:r>
      <w:proofErr w:type="spellStart"/>
      <w:r>
        <w:rPr>
          <w:rStyle w:val="Emphasis"/>
          <w:lang w:val="en-US"/>
        </w:rPr>
        <w:t>reportConfig</w:t>
      </w:r>
      <w:proofErr w:type="spellEnd"/>
      <w:r>
        <w:rPr>
          <w:lang w:val="en-US"/>
        </w:rPr>
        <w:t xml:space="preserve">, gNB configures a list of </w:t>
      </w:r>
      <w:proofErr w:type="gramStart"/>
      <w:r>
        <w:rPr>
          <w:lang w:val="en-US"/>
        </w:rPr>
        <w:t>N</w:t>
      </w:r>
      <w:proofErr w:type="gramEnd"/>
      <w:r>
        <w:rPr>
          <w:lang w:val="en-US"/>
        </w:rPr>
        <w:t xml:space="preserve"> CMR(s) and another list of N*M IMR(s), and each CMR is associated with every M IMR(s) in order</w:t>
      </w:r>
    </w:p>
    <w:p w14:paraId="6FAB7E88" w14:textId="77777777" w:rsidR="00EB33FF" w:rsidRDefault="00EB33FF" w:rsidP="00EB33FF">
      <w:pPr>
        <w:numPr>
          <w:ilvl w:val="1"/>
          <w:numId w:val="32"/>
        </w:numPr>
        <w:overflowPunct/>
        <w:autoSpaceDE/>
        <w:autoSpaceDN/>
        <w:adjustRightInd/>
        <w:spacing w:after="0"/>
        <w:textAlignment w:val="auto"/>
      </w:pPr>
      <w:r>
        <w:rPr>
          <w:lang w:val="en-US"/>
        </w:rPr>
        <w:t>For each SINR, interference is measured based on accumulating measurement of all the associated M IMR(s)</w:t>
      </w:r>
    </w:p>
    <w:p w14:paraId="31A7B36C" w14:textId="79B4DED2" w:rsidR="00EB33FF" w:rsidRDefault="00EB33FF" w:rsidP="00EB33FF">
      <w:pPr>
        <w:numPr>
          <w:ilvl w:val="0"/>
          <w:numId w:val="33"/>
        </w:numPr>
        <w:overflowPunct/>
        <w:autoSpaceDE/>
        <w:autoSpaceDN/>
        <w:adjustRightInd/>
        <w:spacing w:after="0"/>
        <w:textAlignment w:val="auto"/>
      </w:pPr>
      <w:r>
        <w:rPr>
          <w:lang w:val="en-US"/>
        </w:rPr>
        <w:t xml:space="preserve"> [Option 2b: 1 CMR can be mapped to 1 or more than 1 IMRs</w:t>
      </w:r>
    </w:p>
    <w:p w14:paraId="099B15B2" w14:textId="77777777" w:rsidR="00EB33FF" w:rsidRDefault="00EB33FF" w:rsidP="00EB33FF">
      <w:pPr>
        <w:numPr>
          <w:ilvl w:val="1"/>
          <w:numId w:val="34"/>
        </w:numPr>
        <w:overflowPunct/>
        <w:autoSpaceDE/>
        <w:autoSpaceDN/>
        <w:adjustRightInd/>
        <w:spacing w:after="0"/>
        <w:textAlignment w:val="auto"/>
      </w:pPr>
      <w:r>
        <w:rPr>
          <w:lang w:val="en-US"/>
        </w:rPr>
        <w:t>In a </w:t>
      </w:r>
      <w:r>
        <w:rPr>
          <w:rStyle w:val="Emphasis"/>
          <w:lang w:val="en-US"/>
        </w:rPr>
        <w:t>CSI-</w:t>
      </w:r>
      <w:proofErr w:type="spellStart"/>
      <w:r>
        <w:rPr>
          <w:rStyle w:val="Emphasis"/>
          <w:lang w:val="en-US"/>
        </w:rPr>
        <w:t>reportConfig</w:t>
      </w:r>
      <w:proofErr w:type="spellEnd"/>
      <w:r>
        <w:rPr>
          <w:lang w:val="en-US"/>
        </w:rPr>
        <w:t xml:space="preserve">, gNB configures a list of </w:t>
      </w:r>
      <w:proofErr w:type="gramStart"/>
      <w:r>
        <w:rPr>
          <w:lang w:val="en-US"/>
        </w:rPr>
        <w:t>N</w:t>
      </w:r>
      <w:proofErr w:type="gramEnd"/>
      <w:r>
        <w:rPr>
          <w:lang w:val="en-US"/>
        </w:rPr>
        <w:t xml:space="preserve"> CMR(s) and another list of N*M IMR(s), and each CMR is associated with every M IMR(s) in order</w:t>
      </w:r>
    </w:p>
    <w:p w14:paraId="1D9C10E1" w14:textId="77777777" w:rsidR="00EB33FF" w:rsidRDefault="00EB33FF" w:rsidP="00EB33FF">
      <w:pPr>
        <w:numPr>
          <w:ilvl w:val="1"/>
          <w:numId w:val="34"/>
        </w:numPr>
        <w:overflowPunct/>
        <w:autoSpaceDE/>
        <w:autoSpaceDN/>
        <w:adjustRightInd/>
        <w:spacing w:after="0"/>
        <w:textAlignment w:val="auto"/>
      </w:pPr>
      <w:r>
        <w:rPr>
          <w:lang w:val="en-US"/>
        </w:rPr>
        <w:t>For each SINR, interference is measured based on one selected/reported IMR</w:t>
      </w:r>
    </w:p>
    <w:p w14:paraId="20632BE3" w14:textId="162029B0" w:rsidR="00EB33FF" w:rsidRDefault="00EB33FF" w:rsidP="00EB33FF">
      <w:pPr>
        <w:numPr>
          <w:ilvl w:val="0"/>
          <w:numId w:val="36"/>
        </w:numPr>
        <w:overflowPunct/>
        <w:autoSpaceDE/>
        <w:autoSpaceDN/>
        <w:adjustRightInd/>
        <w:spacing w:after="0"/>
        <w:textAlignment w:val="auto"/>
      </w:pPr>
      <w:r>
        <w:rPr>
          <w:lang w:val="en-US"/>
        </w:rPr>
        <w:lastRenderedPageBreak/>
        <w:t xml:space="preserve"> [Option 2c: 1 CMR can be mapped to 1 or more than 1 IMRs</w:t>
      </w:r>
    </w:p>
    <w:p w14:paraId="17976495" w14:textId="77777777" w:rsidR="00EB33FF" w:rsidRDefault="00EB33FF" w:rsidP="00EB33FF">
      <w:pPr>
        <w:numPr>
          <w:ilvl w:val="1"/>
          <w:numId w:val="37"/>
        </w:numPr>
        <w:overflowPunct/>
        <w:autoSpaceDE/>
        <w:autoSpaceDN/>
        <w:adjustRightInd/>
        <w:spacing w:after="0"/>
        <w:textAlignment w:val="auto"/>
      </w:pPr>
      <w:r>
        <w:rPr>
          <w:lang w:val="en-US"/>
        </w:rPr>
        <w:t>In a </w:t>
      </w:r>
      <w:r>
        <w:rPr>
          <w:rStyle w:val="Emphasis"/>
          <w:lang w:val="en-US"/>
        </w:rPr>
        <w:t>CSI-</w:t>
      </w:r>
      <w:proofErr w:type="spellStart"/>
      <w:r>
        <w:rPr>
          <w:rStyle w:val="Emphasis"/>
          <w:lang w:val="en-US"/>
        </w:rPr>
        <w:t>reportConfig</w:t>
      </w:r>
      <w:proofErr w:type="spellEnd"/>
      <w:r>
        <w:rPr>
          <w:lang w:val="en-US"/>
        </w:rPr>
        <w:t xml:space="preserve">, gNB configures a list of </w:t>
      </w:r>
      <w:proofErr w:type="gramStart"/>
      <w:r>
        <w:rPr>
          <w:lang w:val="en-US"/>
        </w:rPr>
        <w:t>N</w:t>
      </w:r>
      <w:proofErr w:type="gramEnd"/>
      <w:r>
        <w:rPr>
          <w:lang w:val="en-US"/>
        </w:rPr>
        <w:t xml:space="preserve"> CMR(s) and another list of M*K IMR(s)</w:t>
      </w:r>
    </w:p>
    <w:p w14:paraId="25FA55B0" w14:textId="77777777" w:rsidR="00EB33FF" w:rsidRDefault="00EB33FF" w:rsidP="00EB33FF">
      <w:pPr>
        <w:numPr>
          <w:ilvl w:val="2"/>
          <w:numId w:val="38"/>
        </w:numPr>
        <w:overflowPunct/>
        <w:autoSpaceDE/>
        <w:autoSpaceDN/>
        <w:adjustRightInd/>
        <w:spacing w:after="0"/>
        <w:textAlignment w:val="auto"/>
      </w:pPr>
      <w:r>
        <w:rPr>
          <w:lang w:val="en-US"/>
        </w:rPr>
        <w:t xml:space="preserve">UE measures N CMR(s) </w:t>
      </w:r>
      <w:proofErr w:type="gramStart"/>
      <w:r>
        <w:rPr>
          <w:lang w:val="en-US"/>
        </w:rPr>
        <w:t>firstly, and</w:t>
      </w:r>
      <w:proofErr w:type="gramEnd"/>
      <w:r>
        <w:rPr>
          <w:lang w:val="en-US"/>
        </w:rPr>
        <w:t xml:space="preserve"> selects K CMR(s) based on L1-RSRP. Then, the L1-SINR of K CMR(s) are calculated with the M*K IMR(s), where CMR(s) and IMR(s) are 1:M mapped in order.</w:t>
      </w:r>
    </w:p>
    <w:p w14:paraId="0FB60533" w14:textId="77777777" w:rsidR="00EB33FF" w:rsidRDefault="00EB33FF" w:rsidP="00EB33FF">
      <w:pPr>
        <w:numPr>
          <w:ilvl w:val="1"/>
          <w:numId w:val="39"/>
        </w:numPr>
        <w:overflowPunct/>
        <w:autoSpaceDE/>
        <w:autoSpaceDN/>
        <w:adjustRightInd/>
        <w:spacing w:after="0"/>
        <w:textAlignment w:val="auto"/>
      </w:pPr>
      <w:r>
        <w:rPr>
          <w:lang w:val="en-US"/>
        </w:rPr>
        <w:t>For each SINR, interference is measured based on selected/reported NZP-IMR</w:t>
      </w:r>
    </w:p>
    <w:p w14:paraId="19D1FF18" w14:textId="77777777" w:rsidR="00EB33FF" w:rsidRDefault="00EB33FF" w:rsidP="00EB33FF">
      <w:pPr>
        <w:numPr>
          <w:ilvl w:val="0"/>
          <w:numId w:val="41"/>
        </w:numPr>
        <w:overflowPunct/>
        <w:autoSpaceDE/>
        <w:autoSpaceDN/>
        <w:adjustRightInd/>
        <w:spacing w:after="0"/>
        <w:textAlignment w:val="auto"/>
      </w:pPr>
      <w:r>
        <w:rPr>
          <w:sz w:val="23"/>
          <w:szCs w:val="23"/>
          <w:lang w:val="en-US"/>
        </w:rPr>
        <w:t>Option 3: 1 IMR can be mapped to 1 or more than 1 CMRs</w:t>
      </w:r>
    </w:p>
    <w:p w14:paraId="2833F1E5" w14:textId="77777777" w:rsidR="00EB33FF" w:rsidRDefault="00EB33FF" w:rsidP="00EB33FF">
      <w:pPr>
        <w:numPr>
          <w:ilvl w:val="1"/>
          <w:numId w:val="42"/>
        </w:numPr>
        <w:overflowPunct/>
        <w:autoSpaceDE/>
        <w:autoSpaceDN/>
        <w:adjustRightInd/>
        <w:spacing w:after="0"/>
        <w:textAlignment w:val="auto"/>
      </w:pPr>
      <w:r>
        <w:rPr>
          <w:sz w:val="23"/>
          <w:szCs w:val="23"/>
          <w:lang w:val="en-US"/>
        </w:rPr>
        <w:t>In a </w:t>
      </w:r>
      <w:r>
        <w:rPr>
          <w:rStyle w:val="Emphasis"/>
          <w:sz w:val="23"/>
          <w:szCs w:val="23"/>
          <w:lang w:val="en-US"/>
        </w:rPr>
        <w:t>CSI-</w:t>
      </w:r>
      <w:proofErr w:type="spellStart"/>
      <w:r>
        <w:rPr>
          <w:rStyle w:val="Emphasis"/>
          <w:sz w:val="23"/>
          <w:szCs w:val="23"/>
          <w:lang w:val="en-US"/>
        </w:rPr>
        <w:t>reportConfig</w:t>
      </w:r>
      <w:proofErr w:type="spellEnd"/>
      <w:r>
        <w:rPr>
          <w:sz w:val="23"/>
          <w:szCs w:val="23"/>
          <w:lang w:val="en-US"/>
        </w:rPr>
        <w:t xml:space="preserve">, gNB configures a list of NK CMR(s) and another list of </w:t>
      </w:r>
      <w:proofErr w:type="gramStart"/>
      <w:r>
        <w:rPr>
          <w:sz w:val="23"/>
          <w:szCs w:val="23"/>
          <w:lang w:val="en-US"/>
        </w:rPr>
        <w:t>N</w:t>
      </w:r>
      <w:proofErr w:type="gramEnd"/>
      <w:r>
        <w:rPr>
          <w:sz w:val="23"/>
          <w:szCs w:val="23"/>
          <w:lang w:val="en-US"/>
        </w:rPr>
        <w:t xml:space="preserve"> NZP-IMR(s). </w:t>
      </w:r>
      <w:r>
        <w:rPr>
          <w:sz w:val="23"/>
          <w:szCs w:val="23"/>
        </w:rPr>
        <w:t>They are K:1 mapped in order.</w:t>
      </w:r>
    </w:p>
    <w:p w14:paraId="6BD39E2E" w14:textId="77777777" w:rsidR="00EB33FF" w:rsidRDefault="00EB33FF" w:rsidP="00EB33FF">
      <w:pPr>
        <w:numPr>
          <w:ilvl w:val="1"/>
          <w:numId w:val="43"/>
        </w:numPr>
        <w:overflowPunct/>
        <w:autoSpaceDE/>
        <w:autoSpaceDN/>
        <w:adjustRightInd/>
        <w:spacing w:after="0"/>
        <w:textAlignment w:val="auto"/>
      </w:pPr>
      <w:r>
        <w:rPr>
          <w:sz w:val="23"/>
          <w:szCs w:val="23"/>
          <w:lang w:val="en-US"/>
        </w:rPr>
        <w:t>For each SINR, interference is measured based on associated one IMR for a CMR.</w:t>
      </w:r>
    </w:p>
    <w:p w14:paraId="11007623" w14:textId="40EF4588" w:rsidR="00AC1CDF" w:rsidRPr="00CA5562" w:rsidRDefault="00EB33FF" w:rsidP="0072327E">
      <w:pPr>
        <w:pStyle w:val="BodyText"/>
      </w:pPr>
      <w:r w:rsidRPr="00CA5562">
        <w:t xml:space="preserve">We note that we have agreed that the UE reports CRI/SSBRI. To be useful, these indices point into a known list of resources known to the gNB. Hence, the gNB must be able to derive the used </w:t>
      </w:r>
      <w:r w:rsidR="00AC1CDF" w:rsidRPr="00CA5562">
        <w:t>CMR and IMR based on the reported CRI/SSBRI:</w:t>
      </w:r>
    </w:p>
    <w:p w14:paraId="3A7C4ED8" w14:textId="77777777" w:rsidR="00AC1CDF" w:rsidRPr="00CA5562" w:rsidRDefault="00AC1CDF" w:rsidP="00AC1CDF">
      <w:pPr>
        <w:pStyle w:val="Observation"/>
      </w:pPr>
      <w:bookmarkStart w:id="37" w:name="_Toc21098149"/>
      <w:r w:rsidRPr="00CA5562">
        <w:t>The gNB must be able to derive the CMR and IMR based on the reported CRI/SSBRI.</w:t>
      </w:r>
      <w:bookmarkEnd w:id="37"/>
    </w:p>
    <w:p w14:paraId="5886ED69" w14:textId="31C726D0" w:rsidR="00767A1C" w:rsidRDefault="00175195" w:rsidP="00AC1CDF">
      <w:pPr>
        <w:pStyle w:val="BodyText"/>
      </w:pPr>
      <w:r>
        <w:t>For both</w:t>
      </w:r>
      <w:r w:rsidRPr="00CA5562">
        <w:t xml:space="preserve"> </w:t>
      </w:r>
      <w:r w:rsidR="00CA5562" w:rsidRPr="00CA5562">
        <w:t>option 2b and 2c,</w:t>
      </w:r>
      <w:r w:rsidR="00CA5562" w:rsidRPr="00CA5562">
        <w:t xml:space="preserve"> </w:t>
      </w:r>
      <w:r>
        <w:t>a desired transmission hypothesis</w:t>
      </w:r>
      <w:r w:rsidR="00B04D5A">
        <w:t xml:space="preserve"> </w:t>
      </w:r>
      <w:r w:rsidR="00305B65">
        <w:t>corresponding to a single (CMR,</w:t>
      </w:r>
      <w:r w:rsidR="00A92B85">
        <w:t xml:space="preserve"> </w:t>
      </w:r>
      <w:r w:rsidR="00305B65">
        <w:t>IMR) pair is indicated.</w:t>
      </w:r>
      <w:r w:rsidR="00425690">
        <w:t xml:space="preserve"> This is in fact functionally equivalent to Option 1</w:t>
      </w:r>
      <w:r w:rsidR="007E50D7">
        <w:t xml:space="preserve">, since the IDs of the CMRs/IMRs in the respective lists can be duplicated. </w:t>
      </w:r>
      <w:r w:rsidR="0020781C">
        <w:t>That is,</w:t>
      </w:r>
      <w:r w:rsidR="007E50D7">
        <w:t xml:space="preserve"> </w:t>
      </w:r>
      <w:r w:rsidR="0042125A">
        <w:t xml:space="preserve">Option 2b/2c </w:t>
      </w:r>
      <w:r w:rsidR="007E50D7">
        <w:t xml:space="preserve">is </w:t>
      </w:r>
      <w:r w:rsidR="00A92B85">
        <w:t>equivalent</w:t>
      </w:r>
      <w:r w:rsidR="007E50D7">
        <w:t xml:space="preserve"> to the</w:t>
      </w:r>
      <w:r w:rsidR="007B2E27">
        <w:t xml:space="preserve"> UE report</w:t>
      </w:r>
      <w:r w:rsidR="007E50D7">
        <w:t>ing</w:t>
      </w:r>
      <w:r w:rsidR="007B2E27">
        <w:t xml:space="preserve"> values of CRI/SSBRI from the range 0 to NM-1</w:t>
      </w:r>
      <w:r w:rsidR="0042125A">
        <w:t xml:space="preserve"> in Option 1</w:t>
      </w:r>
      <w:r w:rsidR="007B2E27">
        <w:t xml:space="preserve"> </w:t>
      </w:r>
      <w:r w:rsidR="00A92B85">
        <w:t>(</w:t>
      </w:r>
      <w:r w:rsidR="007B2E27">
        <w:t>otherwise the gNB cannot determine which CMR and IMR correspond to the reported CRI/SSBRI</w:t>
      </w:r>
      <w:r w:rsidR="00A92B85">
        <w:t>)</w:t>
      </w:r>
      <w:r w:rsidR="007B2E27">
        <w:t>.</w:t>
      </w:r>
      <w:r w:rsidR="00C02BDC">
        <w:t xml:space="preserve"> </w:t>
      </w:r>
      <w:r w:rsidR="00A92B85">
        <w:t>Thus</w:t>
      </w:r>
      <w:r w:rsidR="00934A0F">
        <w:t xml:space="preserve">, option 2b provides the same configuration possibilities as option 1. The difference is that </w:t>
      </w:r>
      <w:r w:rsidR="00767A1C">
        <w:t>option 2b leads to lower RRC signalling load for some cases, and higher RRC signalling load for some cases:</w:t>
      </w:r>
    </w:p>
    <w:p w14:paraId="27592BAA" w14:textId="3EFF7F40" w:rsidR="00767A1C" w:rsidRDefault="00767A1C" w:rsidP="00767A1C">
      <w:pPr>
        <w:pStyle w:val="Observation"/>
      </w:pPr>
      <w:bookmarkStart w:id="38" w:name="_Toc21098150"/>
      <w:r>
        <w:t>Option 2b provides the same configuration possibilities as option 1, but the RRC signalling is optimized for some configuration options.</w:t>
      </w:r>
      <w:bookmarkEnd w:id="38"/>
    </w:p>
    <w:p w14:paraId="5B531B40" w14:textId="6AC1A1CC" w:rsidR="00CA5562" w:rsidRDefault="00767A1C" w:rsidP="00AC1CDF">
      <w:pPr>
        <w:pStyle w:val="BodyText"/>
      </w:pPr>
      <w:r>
        <w:t>At this point in time, we do not see why we should optimize RRC signalling for certain configuration cases.</w:t>
      </w:r>
    </w:p>
    <w:p w14:paraId="320287E9" w14:textId="4028B548" w:rsidR="002F07A4" w:rsidRDefault="00767A1C" w:rsidP="00AC1CDF">
      <w:pPr>
        <w:pStyle w:val="BodyText"/>
      </w:pPr>
      <w:r>
        <w:t xml:space="preserve">For option 2c, it is </w:t>
      </w:r>
      <w:r w:rsidR="005541DC">
        <w:t xml:space="preserve">not clear </w:t>
      </w:r>
      <w:r>
        <w:t xml:space="preserve">why it would be beneficial to select K </w:t>
      </w:r>
      <w:r w:rsidR="00600DD3">
        <w:t>IMRs rather than N IMRs.</w:t>
      </w:r>
      <w:r w:rsidR="005541DC">
        <w:t xml:space="preserve"> Usually, a CMR can be thought of as corresponding to a ‘signal’ beam, and an IMR to an ‘interfering’ beam, and it is difficult to see why there would be more signal beams than interfering beams, since both signal and interfering beams correspond to different transmission hypothes</w:t>
      </w:r>
      <w:r w:rsidR="00D86D0C">
        <w:t>e</w:t>
      </w:r>
      <w:r w:rsidR="005541DC">
        <w:t>s. One possible explanation is that the K interfering beams have been down-selected from a total of N beams, using, e.g., a separate RSRP report. However, it is then difficult to see why we could not down-select also the signal beams using a separate RSRP report, and subsequently configure an SINR report with K CMRs and MK IMRs</w:t>
      </w:r>
      <w:r w:rsidR="002F07A4">
        <w:t>:</w:t>
      </w:r>
    </w:p>
    <w:p w14:paraId="2169105D" w14:textId="31014B5E" w:rsidR="00767A1C" w:rsidRDefault="002F07A4" w:rsidP="002F07A4">
      <w:pPr>
        <w:pStyle w:val="Observation"/>
      </w:pPr>
      <w:bookmarkStart w:id="39" w:name="_Toc21098151"/>
      <w:r>
        <w:t>The benefits of option 2c relative to option 2b are unclear.</w:t>
      </w:r>
      <w:bookmarkEnd w:id="39"/>
      <w:r w:rsidR="005541DC">
        <w:t xml:space="preserve"> </w:t>
      </w:r>
    </w:p>
    <w:p w14:paraId="673894AB" w14:textId="77777777" w:rsidR="00CA5562" w:rsidRDefault="00515C99" w:rsidP="00AC1CDF">
      <w:pPr>
        <w:pStyle w:val="BodyText"/>
      </w:pPr>
      <w:r>
        <w:t>For option 3</w:t>
      </w:r>
      <w:r w:rsidR="00B546AA">
        <w:t>, we assume that the UE reports CRI/SSBRI from the values 0 to NK-1. In this case, the exact same configuration can be obtained using option 1 or option 2a: the only difference is that option 3 may under some circumstances lead to less RRC signalling</w:t>
      </w:r>
      <w:r w:rsidR="00CA5562">
        <w:t>:</w:t>
      </w:r>
    </w:p>
    <w:p w14:paraId="6F4424D3" w14:textId="74BF5C13" w:rsidR="00CA5562" w:rsidRDefault="00CA5562" w:rsidP="00CA5562">
      <w:pPr>
        <w:pStyle w:val="Observation"/>
      </w:pPr>
      <w:bookmarkStart w:id="40" w:name="_Toc21098152"/>
      <w:r>
        <w:t xml:space="preserve">Option 3 does not lead to any additional configuration possibility compared to option 1: it only reduces the RRC </w:t>
      </w:r>
      <w:r w:rsidR="00D86D0C">
        <w:t>signalling</w:t>
      </w:r>
      <w:r>
        <w:t xml:space="preserve"> for some configuration options.</w:t>
      </w:r>
      <w:bookmarkEnd w:id="40"/>
    </w:p>
    <w:p w14:paraId="594D8F4C" w14:textId="6C3C4BB2" w:rsidR="0072327E" w:rsidRDefault="005C2E5C" w:rsidP="00AC1CDF">
      <w:pPr>
        <w:pStyle w:val="BodyText"/>
      </w:pPr>
      <w:r>
        <w:t xml:space="preserve">There is also some unclarity how the QCL assumptions are handled for option 3: in our understanding, different CMRs are combined with the same IMR to produce different SINR estimates, and also that the UE may assume that the </w:t>
      </w:r>
      <w:r w:rsidRPr="005C2E5C">
        <w:t xml:space="preserve">K NZP CSI-RS resource(s) for channel measurement and </w:t>
      </w:r>
      <w:r>
        <w:t xml:space="preserve">the </w:t>
      </w:r>
      <w:r w:rsidRPr="005C2E5C">
        <w:t>NZP CSI-RS resource for interference measurement</w:t>
      </w:r>
      <w:r>
        <w:t xml:space="preserve"> are </w:t>
      </w:r>
      <w:r w:rsidRPr="005C2E5C">
        <w:t>QCL with respect to 'QCL-</w:t>
      </w:r>
      <w:proofErr w:type="spellStart"/>
      <w:r w:rsidRPr="005C2E5C">
        <w:t>TypeD</w:t>
      </w:r>
      <w:proofErr w:type="spellEnd"/>
      <w:r w:rsidRPr="005C2E5C">
        <w:t>’</w:t>
      </w:r>
      <w:r>
        <w:t xml:space="preserve">. Since the UE can only apply one QCL assumption when performing the interference estimation, this implies that all the CMRs must have the same ‘QCL </w:t>
      </w:r>
      <w:proofErr w:type="spellStart"/>
      <w:r>
        <w:t>TypeD</w:t>
      </w:r>
      <w:proofErr w:type="spellEnd"/>
      <w:r>
        <w:t>’, which prevents the UE from using an optimal Rx beam when receiving the CMR.</w:t>
      </w:r>
    </w:p>
    <w:p w14:paraId="13ABC00B" w14:textId="77C8CEF0" w:rsidR="00EB33FF" w:rsidRDefault="00CA5562" w:rsidP="00CA5562">
      <w:pPr>
        <w:pStyle w:val="Observation"/>
      </w:pPr>
      <w:bookmarkStart w:id="41" w:name="_Toc21098153"/>
      <w:r>
        <w:t>The reduction of RRC signalling in option 3 introduces restrictions on how the UE performs the RSRP measurement in the CMR.</w:t>
      </w:r>
      <w:bookmarkEnd w:id="41"/>
    </w:p>
    <w:p w14:paraId="3CD697D9" w14:textId="2F10C3BB" w:rsidR="008D09E7" w:rsidRDefault="002F07A4" w:rsidP="002F07A4">
      <w:pPr>
        <w:pStyle w:val="BodyText"/>
      </w:pPr>
      <w:r>
        <w:t xml:space="preserve">This leaves option 1 and option 2a. </w:t>
      </w:r>
      <w:r w:rsidR="008D09E7">
        <w:t>For Option 2a</w:t>
      </w:r>
      <w:r w:rsidR="00475886">
        <w:t xml:space="preserve">, the functionality would </w:t>
      </w:r>
      <w:r w:rsidR="00394DB0">
        <w:t xml:space="preserve">be </w:t>
      </w:r>
      <w:proofErr w:type="gramStart"/>
      <w:r w:rsidR="00394DB0">
        <w:t>similar to</w:t>
      </w:r>
      <w:proofErr w:type="gramEnd"/>
      <w:r w:rsidR="00394DB0">
        <w:t xml:space="preserve"> how RAN1 envi</w:t>
      </w:r>
      <w:r w:rsidR="00475886">
        <w:t xml:space="preserve">sioned </w:t>
      </w:r>
      <w:r w:rsidR="009A4AF6">
        <w:t>CQI</w:t>
      </w:r>
      <w:r w:rsidR="0054208D">
        <w:t xml:space="preserve"> measurements with NZP-IMR</w:t>
      </w:r>
      <w:r w:rsidR="007A459A">
        <w:t>. However, RAN1 never managed to agree to how</w:t>
      </w:r>
      <w:r w:rsidR="00971649">
        <w:t xml:space="preserve"> to define </w:t>
      </w:r>
      <w:r w:rsidR="00A33C02">
        <w:t>the interference measurement for the case when multiple NZP-IMRs</w:t>
      </w:r>
      <w:r w:rsidR="003E2F54">
        <w:t xml:space="preserve"> are configured and it is unclear whether the UE averages, accumulates or</w:t>
      </w:r>
      <w:r w:rsidR="00971649">
        <w:t xml:space="preserve"> </w:t>
      </w:r>
      <w:r w:rsidR="00460636">
        <w:t>estimates the residual of configured NZP-IMR resources, see Table 1 below</w:t>
      </w:r>
      <w:r w:rsidR="00F42A6D">
        <w:t xml:space="preserve">, which makes the feature </w:t>
      </w:r>
      <w:r w:rsidR="005E67F8">
        <w:t>rather useless in practice.</w:t>
      </w:r>
    </w:p>
    <w:p w14:paraId="53C5AF95" w14:textId="2A063C40" w:rsidR="002067ED" w:rsidRDefault="002067ED" w:rsidP="004C73CB">
      <w:pPr>
        <w:pStyle w:val="Caption"/>
        <w:keepNext/>
        <w:jc w:val="both"/>
      </w:pPr>
      <w:r>
        <w:lastRenderedPageBreak/>
        <w:t xml:space="preserve">Table </w:t>
      </w:r>
      <w:r>
        <w:fldChar w:fldCharType="begin"/>
      </w:r>
      <w:r>
        <w:instrText xml:space="preserve"> SEQ Table \* ARABIC </w:instrText>
      </w:r>
      <w:r>
        <w:fldChar w:fldCharType="separate"/>
      </w:r>
      <w:r w:rsidR="00104470">
        <w:rPr>
          <w:noProof/>
        </w:rPr>
        <w:t>1</w:t>
      </w:r>
      <w:r>
        <w:fldChar w:fldCharType="end"/>
      </w:r>
      <w:r>
        <w:t xml:space="preserve">: </w:t>
      </w:r>
      <w:r w:rsidR="005B70C9">
        <w:t xml:space="preserve">UE assumption (or lack of) for NZP IMR based interference </w:t>
      </w:r>
      <w:r w:rsidR="003E2F54">
        <w:t>measurements in</w:t>
      </w:r>
      <w:r w:rsidR="005B70C9">
        <w:t xml:space="preserve"> 38.214:</w:t>
      </w:r>
    </w:p>
    <w:p w14:paraId="733B2994" w14:textId="682696F1" w:rsidR="00394DB0" w:rsidRDefault="00394DB0" w:rsidP="002F07A4">
      <w:pPr>
        <w:pStyle w:val="BodyText"/>
      </w:pPr>
      <w:r>
        <w:rPr>
          <w:noProof/>
        </w:rPr>
        <mc:AlternateContent>
          <mc:Choice Requires="wps">
            <w:drawing>
              <wp:inline distT="0" distB="0" distL="0" distR="0" wp14:anchorId="77DC6F7C" wp14:editId="42A023FC">
                <wp:extent cx="6454302" cy="1313234"/>
                <wp:effectExtent l="0" t="0" r="2286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302" cy="1313234"/>
                        </a:xfrm>
                        <a:prstGeom prst="rect">
                          <a:avLst/>
                        </a:prstGeom>
                        <a:solidFill>
                          <a:srgbClr val="FFFFFF"/>
                        </a:solidFill>
                        <a:ln w="9525">
                          <a:solidFill>
                            <a:srgbClr val="000000"/>
                          </a:solidFill>
                          <a:miter lim="800000"/>
                          <a:headEnd/>
                          <a:tailEnd/>
                        </a:ln>
                      </wps:spPr>
                      <wps:txbx>
                        <w:txbxContent>
                          <w:p w14:paraId="234ADBC9" w14:textId="77777777" w:rsidR="00384AC2" w:rsidRPr="0048482F" w:rsidRDefault="00384AC2" w:rsidP="00394DB0">
                            <w:pPr>
                              <w:rPr>
                                <w:rFonts w:eastAsia="SimSun"/>
                                <w:color w:val="000000"/>
                                <w:lang w:eastAsia="zh-CN"/>
                              </w:rPr>
                            </w:pPr>
                            <w:r w:rsidRPr="0048482F">
                              <w:rPr>
                                <w:rFonts w:eastAsia="SimSun"/>
                                <w:color w:val="000000"/>
                                <w:lang w:eastAsia="zh-CN"/>
                              </w:rPr>
                              <w:t xml:space="preserve">For CSI measurement(s), a UE assumes: </w:t>
                            </w:r>
                          </w:p>
                          <w:p w14:paraId="09DE6E63" w14:textId="77777777" w:rsidR="00384AC2" w:rsidRPr="0048482F" w:rsidRDefault="00384AC2" w:rsidP="00394DB0">
                            <w:pPr>
                              <w:pStyle w:val="B1"/>
                              <w:rPr>
                                <w:rFonts w:eastAsia="SimSun"/>
                              </w:rPr>
                            </w:pPr>
                            <w:r w:rsidRPr="0048482F">
                              <w:t>-</w:t>
                            </w:r>
                            <w:r w:rsidRPr="0048482F">
                              <w:tab/>
                            </w:r>
                            <w:r w:rsidRPr="0048482F">
                              <w:rPr>
                                <w:rFonts w:eastAsia="SimSun"/>
                              </w:rPr>
                              <w:t xml:space="preserve">each </w:t>
                            </w:r>
                            <w:r>
                              <w:rPr>
                                <w:rFonts w:eastAsia="SimSun"/>
                              </w:rPr>
                              <w:t>NZP</w:t>
                            </w:r>
                            <w:r w:rsidRPr="0048482F">
                              <w:rPr>
                                <w:rFonts w:eastAsia="SimSun"/>
                              </w:rPr>
                              <w:t xml:space="preserve"> CSI-RS port configured for interference measurement corresponds to an interference transmission layer.</w:t>
                            </w:r>
                          </w:p>
                          <w:p w14:paraId="353D8091" w14:textId="77777777" w:rsidR="00384AC2" w:rsidRPr="0048482F" w:rsidRDefault="00384AC2" w:rsidP="00394DB0">
                            <w:pPr>
                              <w:pStyle w:val="B1"/>
                              <w:rPr>
                                <w:rFonts w:eastAsia="SimSun"/>
                              </w:rPr>
                            </w:pPr>
                            <w:r w:rsidRPr="0048482F">
                              <w:t>-</w:t>
                            </w:r>
                            <w:r w:rsidRPr="0048482F">
                              <w:tab/>
                            </w:r>
                            <w:r w:rsidRPr="0048482F">
                              <w:rPr>
                                <w:rFonts w:eastAsia="SimSun"/>
                              </w:rPr>
                              <w:t xml:space="preserve">all interference transmission layers on </w:t>
                            </w:r>
                            <w:r>
                              <w:rPr>
                                <w:rFonts w:eastAsia="SimSun"/>
                              </w:rPr>
                              <w:t>NZP</w:t>
                            </w:r>
                            <w:r w:rsidRPr="0048482F">
                              <w:rPr>
                                <w:rFonts w:eastAsia="SimSun"/>
                              </w:rPr>
                              <w:t xml:space="preserve"> CSI-RS ports for interference measurement </w:t>
                            </w:r>
                            <w:proofErr w:type="gramStart"/>
                            <w:r w:rsidRPr="0048482F">
                              <w:rPr>
                                <w:rFonts w:eastAsia="SimSun"/>
                              </w:rPr>
                              <w:t>tak</w:t>
                            </w:r>
                            <w:r>
                              <w:rPr>
                                <w:rFonts w:eastAsia="SimSun"/>
                              </w:rPr>
                              <w:t>e</w:t>
                            </w:r>
                            <w:r w:rsidRPr="0048482F">
                              <w:rPr>
                                <w:rFonts w:eastAsia="SimSun"/>
                              </w:rPr>
                              <w:t xml:space="preserve"> into account</w:t>
                            </w:r>
                            <w:proofErr w:type="gramEnd"/>
                            <w:r w:rsidRPr="0048482F">
                              <w:rPr>
                                <w:rFonts w:eastAsia="SimSun"/>
                              </w:rPr>
                              <w:t xml:space="preserve"> the associated EPRE ratios configured in 5.2.2.3.1; </w:t>
                            </w:r>
                          </w:p>
                          <w:p w14:paraId="137A01C9" w14:textId="77777777" w:rsidR="00384AC2" w:rsidRPr="0048482F" w:rsidRDefault="00384AC2" w:rsidP="00394DB0">
                            <w:pPr>
                              <w:pStyle w:val="B1"/>
                              <w:rPr>
                                <w:rFonts w:eastAsia="SimSun"/>
                              </w:rPr>
                            </w:pPr>
                            <w:r w:rsidRPr="0048482F">
                              <w:t>-</w:t>
                            </w:r>
                            <w:r w:rsidRPr="0048482F">
                              <w:tab/>
                            </w:r>
                            <w:r w:rsidRPr="0048482F">
                              <w:rPr>
                                <w:rFonts w:eastAsia="SimSun"/>
                              </w:rPr>
                              <w:t xml:space="preserve">other interference signal on REs of </w:t>
                            </w:r>
                            <w:r>
                              <w:rPr>
                                <w:rFonts w:eastAsia="SimSun"/>
                              </w:rPr>
                              <w:t>NZP</w:t>
                            </w:r>
                            <w:r w:rsidRPr="0048482F">
                              <w:rPr>
                                <w:rFonts w:eastAsia="SimSun"/>
                              </w:rPr>
                              <w:t xml:space="preserve"> CSI-RS resource for channel measurement, </w:t>
                            </w:r>
                            <w:r>
                              <w:rPr>
                                <w:rFonts w:eastAsia="SimSun"/>
                              </w:rPr>
                              <w:t>NZP</w:t>
                            </w:r>
                            <w:r w:rsidRPr="0048482F">
                              <w:rPr>
                                <w:rFonts w:eastAsia="SimSun"/>
                              </w:rPr>
                              <w:t xml:space="preserve"> CSI-RS resource for interference measurement, or CSI-IM resour</w:t>
                            </w:r>
                            <w:r>
                              <w:rPr>
                                <w:rFonts w:eastAsia="SimSun"/>
                              </w:rPr>
                              <w:t>ce for interference measurement.</w:t>
                            </w:r>
                          </w:p>
                          <w:p w14:paraId="4AA33DF5" w14:textId="77777777" w:rsidR="00384AC2" w:rsidRDefault="00384AC2" w:rsidP="00394DB0"/>
                        </w:txbxContent>
                      </wps:txbx>
                      <wps:bodyPr rot="0" vert="horz" wrap="square" lIns="91440" tIns="45720" rIns="91440" bIns="45720" anchor="t" anchorCtr="0">
                        <a:noAutofit/>
                      </wps:bodyPr>
                    </wps:wsp>
                  </a:graphicData>
                </a:graphic>
              </wp:inline>
            </w:drawing>
          </mc:Choice>
          <mc:Fallback>
            <w:pict>
              <v:shape w14:anchorId="77DC6F7C" id="_x0000_s1033" type="#_x0000_t202" style="width:508.2pt;height:10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">
                <v:textbox>
                  <w:txbxContent>
                    <w:p w14:paraId="234ADBC9" w14:textId="77777777" w:rsidR="00384AC2" w:rsidRPr="0048482F" w:rsidRDefault="00384AC2" w:rsidP="00394DB0">
                      <w:pPr>
                        <w:rPr>
                          <w:rFonts w:eastAsia="SimSun"/>
                          <w:color w:val="000000"/>
                          <w:lang w:eastAsia="zh-CN"/>
                        </w:rPr>
                      </w:pPr>
                      <w:r w:rsidRPr="0048482F">
                        <w:rPr>
                          <w:rFonts w:eastAsia="SimSun"/>
                          <w:color w:val="000000"/>
                          <w:lang w:eastAsia="zh-CN"/>
                        </w:rPr>
                        <w:t xml:space="preserve">For CSI measurement(s), a UE assumes: </w:t>
                      </w:r>
                    </w:p>
                    <w:p w14:paraId="09DE6E63" w14:textId="77777777" w:rsidR="00384AC2" w:rsidRPr="0048482F" w:rsidRDefault="00384AC2" w:rsidP="00394DB0">
                      <w:pPr>
                        <w:pStyle w:val="B1"/>
                        <w:rPr>
                          <w:rFonts w:eastAsia="SimSun"/>
                        </w:rPr>
                      </w:pPr>
                      <w:r w:rsidRPr="0048482F">
                        <w:t>-</w:t>
                      </w:r>
                      <w:r w:rsidRPr="0048482F">
                        <w:tab/>
                      </w:r>
                      <w:r w:rsidRPr="0048482F">
                        <w:rPr>
                          <w:rFonts w:eastAsia="SimSun"/>
                        </w:rPr>
                        <w:t xml:space="preserve">each </w:t>
                      </w:r>
                      <w:r>
                        <w:rPr>
                          <w:rFonts w:eastAsia="SimSun"/>
                        </w:rPr>
                        <w:t>NZP</w:t>
                      </w:r>
                      <w:r w:rsidRPr="0048482F">
                        <w:rPr>
                          <w:rFonts w:eastAsia="SimSun"/>
                        </w:rPr>
                        <w:t xml:space="preserve"> CSI-RS port configured for interference measurement corresponds to an interference transmission layer.</w:t>
                      </w:r>
                    </w:p>
                    <w:p w14:paraId="353D8091" w14:textId="77777777" w:rsidR="00384AC2" w:rsidRPr="0048482F" w:rsidRDefault="00384AC2" w:rsidP="00394DB0">
                      <w:pPr>
                        <w:pStyle w:val="B1"/>
                        <w:rPr>
                          <w:rFonts w:eastAsia="SimSun"/>
                        </w:rPr>
                      </w:pPr>
                      <w:r w:rsidRPr="0048482F">
                        <w:t>-</w:t>
                      </w:r>
                      <w:r w:rsidRPr="0048482F">
                        <w:tab/>
                      </w:r>
                      <w:r w:rsidRPr="0048482F">
                        <w:rPr>
                          <w:rFonts w:eastAsia="SimSun"/>
                        </w:rPr>
                        <w:t xml:space="preserve">all interference transmission layers on </w:t>
                      </w:r>
                      <w:r>
                        <w:rPr>
                          <w:rFonts w:eastAsia="SimSun"/>
                        </w:rPr>
                        <w:t>NZP</w:t>
                      </w:r>
                      <w:r w:rsidRPr="0048482F">
                        <w:rPr>
                          <w:rFonts w:eastAsia="SimSun"/>
                        </w:rPr>
                        <w:t xml:space="preserve"> CSI-RS ports for interference measurement </w:t>
                      </w:r>
                      <w:proofErr w:type="gramStart"/>
                      <w:r w:rsidRPr="0048482F">
                        <w:rPr>
                          <w:rFonts w:eastAsia="SimSun"/>
                        </w:rPr>
                        <w:t>tak</w:t>
                      </w:r>
                      <w:r>
                        <w:rPr>
                          <w:rFonts w:eastAsia="SimSun"/>
                        </w:rPr>
                        <w:t>e</w:t>
                      </w:r>
                      <w:r w:rsidRPr="0048482F">
                        <w:rPr>
                          <w:rFonts w:eastAsia="SimSun"/>
                        </w:rPr>
                        <w:t xml:space="preserve"> into account</w:t>
                      </w:r>
                      <w:proofErr w:type="gramEnd"/>
                      <w:r w:rsidRPr="0048482F">
                        <w:rPr>
                          <w:rFonts w:eastAsia="SimSun"/>
                        </w:rPr>
                        <w:t xml:space="preserve"> the associated EPRE ratios configured in 5.2.2.3.1; </w:t>
                      </w:r>
                    </w:p>
                    <w:p w14:paraId="137A01C9" w14:textId="77777777" w:rsidR="00384AC2" w:rsidRPr="0048482F" w:rsidRDefault="00384AC2" w:rsidP="00394DB0">
                      <w:pPr>
                        <w:pStyle w:val="B1"/>
                        <w:rPr>
                          <w:rFonts w:eastAsia="SimSun"/>
                        </w:rPr>
                      </w:pPr>
                      <w:r w:rsidRPr="0048482F">
                        <w:t>-</w:t>
                      </w:r>
                      <w:r w:rsidRPr="0048482F">
                        <w:tab/>
                      </w:r>
                      <w:r w:rsidRPr="0048482F">
                        <w:rPr>
                          <w:rFonts w:eastAsia="SimSun"/>
                        </w:rPr>
                        <w:t xml:space="preserve">other interference signal on REs of </w:t>
                      </w:r>
                      <w:r>
                        <w:rPr>
                          <w:rFonts w:eastAsia="SimSun"/>
                        </w:rPr>
                        <w:t>NZP</w:t>
                      </w:r>
                      <w:r w:rsidRPr="0048482F">
                        <w:rPr>
                          <w:rFonts w:eastAsia="SimSun"/>
                        </w:rPr>
                        <w:t xml:space="preserve"> CSI-RS resource for channel measurement, </w:t>
                      </w:r>
                      <w:r>
                        <w:rPr>
                          <w:rFonts w:eastAsia="SimSun"/>
                        </w:rPr>
                        <w:t>NZP</w:t>
                      </w:r>
                      <w:r w:rsidRPr="0048482F">
                        <w:rPr>
                          <w:rFonts w:eastAsia="SimSun"/>
                        </w:rPr>
                        <w:t xml:space="preserve"> CSI-RS resource for interference measurement, or CSI-IM resour</w:t>
                      </w:r>
                      <w:r>
                        <w:rPr>
                          <w:rFonts w:eastAsia="SimSun"/>
                        </w:rPr>
                        <w:t>ce for interference measurement.</w:t>
                      </w:r>
                    </w:p>
                    <w:p w14:paraId="4AA33DF5" w14:textId="77777777" w:rsidR="00384AC2" w:rsidRDefault="00384AC2" w:rsidP="00394DB0"/>
                  </w:txbxContent>
                </v:textbox>
                <w10:anchorlock/>
              </v:shape>
            </w:pict>
          </mc:Fallback>
        </mc:AlternateContent>
      </w:r>
    </w:p>
    <w:p w14:paraId="0B3E6E48" w14:textId="1669DDA7" w:rsidR="0068091E" w:rsidRDefault="00F04F1D" w:rsidP="002F07A4">
      <w:pPr>
        <w:pStyle w:val="BodyText"/>
      </w:pPr>
      <w:r>
        <w:t xml:space="preserve">Since option 2a uses multiple REs to estimate </w:t>
      </w:r>
      <w:proofErr w:type="spellStart"/>
      <w:r>
        <w:t>inteference</w:t>
      </w:r>
      <w:proofErr w:type="spellEnd"/>
      <w:r>
        <w:t xml:space="preserve">, it </w:t>
      </w:r>
      <w:r w:rsidR="0068091E">
        <w:t xml:space="preserve">may seem that </w:t>
      </w:r>
      <w:r w:rsidR="002F07A4">
        <w:t>option 2a</w:t>
      </w:r>
      <w:r>
        <w:t xml:space="preserve"> would</w:t>
      </w:r>
      <w:r w:rsidR="002F07A4">
        <w:t xml:space="preserve"> lead to better accuracy. </w:t>
      </w:r>
      <w:r w:rsidR="0068091E">
        <w:t xml:space="preserve">However, we should note that RAN4 will define RRM requirements for L1-SINR, and for this type of measurements, the UE is free to use any measurements it likes </w:t>
      </w:r>
      <w:proofErr w:type="gramStart"/>
      <w:r w:rsidR="0068091E">
        <w:t>as long as</w:t>
      </w:r>
      <w:proofErr w:type="gramEnd"/>
      <w:r w:rsidR="0068091E">
        <w:t xml:space="preserve"> the requirements are fulfilled. </w:t>
      </w:r>
      <w:r>
        <w:t xml:space="preserve">The accuracy will be tested for a small number of simulation scenarios. </w:t>
      </w:r>
      <w:r w:rsidR="0068091E">
        <w:t xml:space="preserve">Thus, we observe </w:t>
      </w:r>
    </w:p>
    <w:p w14:paraId="1EDD49C7" w14:textId="2A9220E0" w:rsidR="002F07A4" w:rsidRDefault="0068091E" w:rsidP="0068091E">
      <w:pPr>
        <w:pStyle w:val="Observation"/>
      </w:pPr>
      <w:bookmarkStart w:id="42" w:name="_Toc21098154"/>
      <w:r>
        <w:t>Increasing the size of the IMR will not automatically lead to better accuracy.</w:t>
      </w:r>
      <w:bookmarkEnd w:id="42"/>
    </w:p>
    <w:p w14:paraId="43040BAA" w14:textId="4E880465" w:rsidR="0068091E" w:rsidRDefault="0068091E" w:rsidP="0068091E">
      <w:pPr>
        <w:pStyle w:val="BodyText"/>
      </w:pPr>
      <w:r>
        <w:t>What is clear is that option 1 is supported by the current CSI framework without chan</w:t>
      </w:r>
      <w:r w:rsidR="00CF302F">
        <w:t>ges. We also maintain alignment with the configuration of ZP-IMR. Based on the above discussion, we propose</w:t>
      </w:r>
    </w:p>
    <w:p w14:paraId="36A04205" w14:textId="510D5FC7" w:rsidR="00CF302F" w:rsidRPr="00CF302F" w:rsidRDefault="00CF302F" w:rsidP="00CF302F">
      <w:pPr>
        <w:pStyle w:val="Proposal"/>
      </w:pPr>
      <w:bookmarkStart w:id="43" w:name="_Toc21098178"/>
      <w:r>
        <w:t xml:space="preserve">Adopt option 1: </w:t>
      </w:r>
      <w:r w:rsidRPr="00CF302F">
        <w:t>CMR and IMR are 1-to-1 mapped</w:t>
      </w:r>
      <w:r>
        <w:t>.</w:t>
      </w:r>
      <w:bookmarkEnd w:id="43"/>
    </w:p>
    <w:p w14:paraId="4AFB9978" w14:textId="75E99AB3" w:rsidR="00CF302F" w:rsidRDefault="00CF302F" w:rsidP="00CF302F">
      <w:pPr>
        <w:pStyle w:val="BodyText"/>
      </w:pPr>
      <w:r>
        <w:t>During the email discussion leading up to the configuration options for NZP-IMR, there was also a discussion about how the UE would estimate interference, or what signals the UE would consider to be interference. In this context, there are some important observations to make:</w:t>
      </w:r>
    </w:p>
    <w:p w14:paraId="60220E21" w14:textId="2B277ED8" w:rsidR="00CF302F" w:rsidRDefault="00CF302F" w:rsidP="00CF302F">
      <w:pPr>
        <w:pStyle w:val="Observation"/>
      </w:pPr>
      <w:bookmarkStart w:id="44" w:name="_Toc21098155"/>
      <w:r>
        <w:t>RAN4 will define RRM requirements for L1-SINR.</w:t>
      </w:r>
      <w:bookmarkEnd w:id="44"/>
    </w:p>
    <w:p w14:paraId="2539E968" w14:textId="20547963" w:rsidR="00CF302F" w:rsidRDefault="00CF302F" w:rsidP="00CF302F">
      <w:pPr>
        <w:pStyle w:val="BodyText"/>
      </w:pPr>
      <w:r>
        <w:t xml:space="preserve">RRM requirements are based on so-called measurement capabilities described in </w:t>
      </w:r>
      <w:r>
        <w:fldChar w:fldCharType="begin"/>
      </w:r>
      <w:r>
        <w:instrText xml:space="preserve"> REF _Ref20924651 \r \h </w:instrText>
      </w:r>
      <w:r>
        <w:fldChar w:fldCharType="separate"/>
      </w:r>
      <w:r w:rsidR="00104470">
        <w:t>[5]</w:t>
      </w:r>
      <w:r>
        <w:fldChar w:fldCharType="end"/>
      </w:r>
      <w:r>
        <w:t>. RAN4 has previously defined requirements for (L3</w:t>
      </w:r>
      <w:proofErr w:type="gramStart"/>
      <w:r>
        <w:t>-)SINR</w:t>
      </w:r>
      <w:proofErr w:type="gramEnd"/>
      <w:r>
        <w:t>, and during this discussion, RAN4 has not defined how the UE should measure interference, it has been left up to UE implementation:</w:t>
      </w:r>
    </w:p>
    <w:p w14:paraId="639B2863" w14:textId="1CC0FFB1" w:rsidR="00CF302F" w:rsidRDefault="00CF302F" w:rsidP="00CF302F">
      <w:pPr>
        <w:pStyle w:val="Observation"/>
      </w:pPr>
      <w:bookmarkStart w:id="45" w:name="_Toc21098156"/>
      <w:r>
        <w:t>RAN4 has not defined interference for SINR, neither for LTE nor for NR: this has been left to UE implementation.</w:t>
      </w:r>
      <w:bookmarkEnd w:id="45"/>
    </w:p>
    <w:p w14:paraId="331DEC23" w14:textId="76690012" w:rsidR="00CF302F" w:rsidRDefault="00CF302F" w:rsidP="00CF302F">
      <w:pPr>
        <w:pStyle w:val="BodyText"/>
      </w:pPr>
      <w:r>
        <w:t>Furthermore,</w:t>
      </w:r>
      <w:r>
        <w:t xml:space="preserve"> </w:t>
      </w:r>
      <w:r w:rsidR="00576D56">
        <w:t>as was mentioned above,</w:t>
      </w:r>
      <w:r>
        <w:t xml:space="preserve"> </w:t>
      </w:r>
      <w:r w:rsidR="00332BD8">
        <w:t xml:space="preserve">3GPP has specified CSI </w:t>
      </w:r>
      <w:proofErr w:type="gramStart"/>
      <w:r w:rsidR="00332BD8">
        <w:t>reporting</w:t>
      </w:r>
      <w:r w:rsidR="00576D56">
        <w:t xml:space="preserve"> </w:t>
      </w:r>
      <w:r w:rsidR="00332BD8">
        <w:t xml:space="preserve"> with</w:t>
      </w:r>
      <w:proofErr w:type="gramEnd"/>
      <w:r w:rsidR="00332BD8">
        <w:t xml:space="preserve"> associated configuration options for CMR and IMR. During this process, RAN1 and RAN4 failed to define interference: this was in the end left for UE implementation:</w:t>
      </w:r>
    </w:p>
    <w:p w14:paraId="402A4001" w14:textId="41565F6C" w:rsidR="00332BD8" w:rsidRPr="00CA5562" w:rsidRDefault="00332BD8" w:rsidP="00332BD8">
      <w:pPr>
        <w:pStyle w:val="Observation"/>
      </w:pPr>
      <w:bookmarkStart w:id="46" w:name="_Toc21098157"/>
      <w:r>
        <w:t>For CSI reporting in general, 3GPP has not specified how interference should be measured: it has been left up to UE implementation.</w:t>
      </w:r>
      <w:bookmarkEnd w:id="46"/>
    </w:p>
    <w:p w14:paraId="660C9416" w14:textId="77777777" w:rsidR="00332BD8" w:rsidRDefault="00332BD8" w:rsidP="0072327E">
      <w:pPr>
        <w:pStyle w:val="BodyText"/>
      </w:pPr>
      <w:r>
        <w:t xml:space="preserve">Thus, interference definition is not a new problem: 3GPP has already tried and failed in at least two occasions. Thus, introducing a definition </w:t>
      </w:r>
      <w:proofErr w:type="gramStart"/>
      <w:r>
        <w:t>at this point in time</w:t>
      </w:r>
      <w:proofErr w:type="gramEnd"/>
      <w:r>
        <w:t xml:space="preserve"> would not seem appropriate, especially for RAN1, since this is intimately tied to the testing framework, which is the responsibility of RAN4. Hence, we propose</w:t>
      </w:r>
    </w:p>
    <w:p w14:paraId="3B406601" w14:textId="0DF36900" w:rsidR="00332BD8" w:rsidRPr="00A04F49" w:rsidRDefault="00332BD8" w:rsidP="00332BD8">
      <w:pPr>
        <w:pStyle w:val="Proposal"/>
      </w:pPr>
      <w:bookmarkStart w:id="47" w:name="_Toc21098179"/>
      <w:r>
        <w:t>RAN1 does not define interference in context of L1-SINR reporting</w:t>
      </w:r>
      <w:r w:rsidRPr="00A04F49">
        <w:t>.</w:t>
      </w:r>
      <w:bookmarkEnd w:id="47"/>
    </w:p>
    <w:p w14:paraId="48C1E517" w14:textId="77777777" w:rsidR="00C01F33" w:rsidRPr="00CE0424" w:rsidRDefault="00C01F33" w:rsidP="00CE0424">
      <w:pPr>
        <w:pStyle w:val="Heading1"/>
      </w:pPr>
      <w:r w:rsidRPr="00CE0424">
        <w:t>Conclusion</w:t>
      </w:r>
    </w:p>
    <w:p w14:paraId="517E74C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77D245" w14:textId="77777777" w:rsidR="00DF354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1098136" w:history="1">
        <w:r w:rsidR="00DF354B" w:rsidRPr="00507830">
          <w:rPr>
            <w:rStyle w:val="Hyperlink"/>
            <w:noProof/>
          </w:rPr>
          <w:t>Observation 1</w:t>
        </w:r>
        <w:r w:rsidR="00DF354B">
          <w:rPr>
            <w:rFonts w:asciiTheme="minorHAnsi" w:eastAsiaTheme="minorEastAsia" w:hAnsiTheme="minorHAnsi" w:cstheme="minorBidi"/>
            <w:b w:val="0"/>
            <w:noProof/>
            <w:sz w:val="22"/>
            <w:szCs w:val="22"/>
            <w:lang w:val="sv-SE" w:eastAsia="sv-SE"/>
          </w:rPr>
          <w:tab/>
        </w:r>
        <w:r w:rsidR="00DF354B" w:rsidRPr="00507830">
          <w:rPr>
            <w:rStyle w:val="Hyperlink"/>
            <w:noProof/>
          </w:rPr>
          <w:t>In CA, it may be beneficial to simultaneously update the spatial relation of PUCCH resources in difference SCells for different BWPs.</w:t>
        </w:r>
      </w:hyperlink>
    </w:p>
    <w:p w14:paraId="59CA8CBD"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37" w:history="1">
        <w:r w:rsidRPr="00507830">
          <w:rPr>
            <w:rStyle w:val="Hyperlink"/>
            <w:noProof/>
          </w:rPr>
          <w:t>Observation 2</w:t>
        </w:r>
        <w:r>
          <w:rPr>
            <w:rFonts w:asciiTheme="minorHAnsi" w:eastAsiaTheme="minorEastAsia" w:hAnsiTheme="minorHAnsi" w:cstheme="minorBidi"/>
            <w:b w:val="0"/>
            <w:noProof/>
            <w:sz w:val="22"/>
            <w:szCs w:val="22"/>
            <w:lang w:val="sv-SE" w:eastAsia="sv-SE"/>
          </w:rPr>
          <w:tab/>
        </w:r>
        <w:r w:rsidRPr="00507830">
          <w:rPr>
            <w:rStyle w:val="Hyperlink"/>
            <w:noProof/>
          </w:rPr>
          <w:t>Deriving the spatial relation from the pathloss reference RS would require that the pathloss reference RS is signalled to the UE.</w:t>
        </w:r>
      </w:hyperlink>
    </w:p>
    <w:p w14:paraId="4A86092C"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38" w:history="1">
        <w:r w:rsidRPr="00507830">
          <w:rPr>
            <w:rStyle w:val="Hyperlink"/>
            <w:noProof/>
          </w:rPr>
          <w:t>Observation 3</w:t>
        </w:r>
        <w:r>
          <w:rPr>
            <w:rFonts w:asciiTheme="minorHAnsi" w:eastAsiaTheme="minorEastAsia" w:hAnsiTheme="minorHAnsi" w:cstheme="minorBidi"/>
            <w:b w:val="0"/>
            <w:noProof/>
            <w:sz w:val="22"/>
            <w:szCs w:val="22"/>
            <w:lang w:val="sv-SE" w:eastAsia="sv-SE"/>
          </w:rPr>
          <w:tab/>
        </w:r>
        <w:r w:rsidRPr="00507830">
          <w:rPr>
            <w:rStyle w:val="Hyperlink"/>
            <w:noProof/>
          </w:rPr>
          <w:t>Basing the default spatial relation on the QCL assumption of CORESET#0 would only seem appropriate when the NW uses CORESET#0 for scheduling. When data is scheduled using other CORESETs, spatial relation based on the QCL assumption of those CORESETs would seem more appropriate.</w:t>
        </w:r>
      </w:hyperlink>
    </w:p>
    <w:p w14:paraId="131AC703"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39" w:history="1">
        <w:r w:rsidRPr="00507830">
          <w:rPr>
            <w:rStyle w:val="Hyperlink"/>
            <w:noProof/>
          </w:rPr>
          <w:t>Observation 4</w:t>
        </w:r>
        <w:r>
          <w:rPr>
            <w:rFonts w:asciiTheme="minorHAnsi" w:eastAsiaTheme="minorEastAsia" w:hAnsiTheme="minorHAnsi" w:cstheme="minorBidi"/>
            <w:b w:val="0"/>
            <w:noProof/>
            <w:sz w:val="22"/>
            <w:szCs w:val="22"/>
            <w:lang w:val="sv-SE" w:eastAsia="sv-SE"/>
          </w:rPr>
          <w:tab/>
        </w:r>
        <w:r w:rsidRPr="00507830">
          <w:rPr>
            <w:rStyle w:val="Hyperlink"/>
            <w:noProof/>
          </w:rPr>
          <w:t>Additional timing restrictions may be required if the spatial relation of an A-SRS/PUCCH is based on the TCI state of the scheduling PDCCH.</w:t>
        </w:r>
      </w:hyperlink>
    </w:p>
    <w:p w14:paraId="05517265"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0" w:history="1">
        <w:r w:rsidRPr="00507830">
          <w:rPr>
            <w:rStyle w:val="Hyperlink"/>
            <w:noProof/>
          </w:rPr>
          <w:t>Observation 5</w:t>
        </w:r>
        <w:r>
          <w:rPr>
            <w:rFonts w:asciiTheme="minorHAnsi" w:eastAsiaTheme="minorEastAsia" w:hAnsiTheme="minorHAnsi" w:cstheme="minorBidi"/>
            <w:b w:val="0"/>
            <w:noProof/>
            <w:sz w:val="22"/>
            <w:szCs w:val="22"/>
            <w:lang w:val="sv-SE" w:eastAsia="sv-SE"/>
          </w:rPr>
          <w:tab/>
        </w:r>
        <w:r w:rsidRPr="00507830">
          <w:rPr>
            <w:rStyle w:val="Hyperlink"/>
            <w:noProof/>
          </w:rPr>
          <w:t>The most common deployment is that the TCI state of the PDSCH follows the TCI state of the PDCCH.</w:t>
        </w:r>
      </w:hyperlink>
    </w:p>
    <w:p w14:paraId="209E37ED"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1" w:history="1">
        <w:r w:rsidRPr="00507830">
          <w:rPr>
            <w:rStyle w:val="Hyperlink"/>
            <w:noProof/>
          </w:rPr>
          <w:t>Observation 6</w:t>
        </w:r>
        <w:r>
          <w:rPr>
            <w:rFonts w:asciiTheme="minorHAnsi" w:eastAsiaTheme="minorEastAsia" w:hAnsiTheme="minorHAnsi" w:cstheme="minorBidi"/>
            <w:b w:val="0"/>
            <w:noProof/>
            <w:sz w:val="22"/>
            <w:szCs w:val="22"/>
            <w:lang w:val="sv-SE" w:eastAsia="sv-SE"/>
          </w:rPr>
          <w:tab/>
        </w:r>
        <w:r w:rsidRPr="00507830">
          <w:rPr>
            <w:rStyle w:val="Hyperlink"/>
            <w:noProof/>
          </w:rPr>
          <w:t>Any potential ambiguity of which CCs are affected by the MAC CE command is removed if the TCI state group is explicitly defined.</w:t>
        </w:r>
      </w:hyperlink>
    </w:p>
    <w:p w14:paraId="70D45184"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2" w:history="1">
        <w:r w:rsidRPr="00507830">
          <w:rPr>
            <w:rStyle w:val="Hyperlink"/>
            <w:noProof/>
          </w:rPr>
          <w:t>Observation 7</w:t>
        </w:r>
        <w:r>
          <w:rPr>
            <w:rFonts w:asciiTheme="minorHAnsi" w:eastAsiaTheme="minorEastAsia" w:hAnsiTheme="minorHAnsi" w:cstheme="minorBidi"/>
            <w:b w:val="0"/>
            <w:noProof/>
            <w:sz w:val="22"/>
            <w:szCs w:val="22"/>
            <w:lang w:val="sv-SE" w:eastAsia="sv-SE"/>
          </w:rPr>
          <w:tab/>
        </w:r>
        <w:r w:rsidRPr="00507830">
          <w:rPr>
            <w:rStyle w:val="Hyperlink"/>
            <w:noProof/>
          </w:rPr>
          <w:t>Coupling the pathloss reference RS to the spatial relation of another RS leads to badly structured RRC, and makes it difficult to understand from where the various parameters are taken.</w:t>
        </w:r>
      </w:hyperlink>
    </w:p>
    <w:p w14:paraId="1C482DAA"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3" w:history="1">
        <w:r w:rsidRPr="00507830">
          <w:rPr>
            <w:rStyle w:val="Hyperlink"/>
            <w:noProof/>
          </w:rPr>
          <w:t>Observation 8</w:t>
        </w:r>
        <w:r>
          <w:rPr>
            <w:rFonts w:asciiTheme="minorHAnsi" w:eastAsiaTheme="minorEastAsia" w:hAnsiTheme="minorHAnsi" w:cstheme="minorBidi"/>
            <w:b w:val="0"/>
            <w:noProof/>
            <w:sz w:val="22"/>
            <w:szCs w:val="22"/>
            <w:lang w:val="sv-SE" w:eastAsia="sv-SE"/>
          </w:rPr>
          <w:tab/>
        </w:r>
        <w:r w:rsidRPr="00507830">
          <w:rPr>
            <w:rStyle w:val="Hyperlink"/>
            <w:noProof/>
          </w:rPr>
          <w:t>Option 4 and 5 do not lead to any signalling reduction when SSB is used as pathloss reference RS.</w:t>
        </w:r>
      </w:hyperlink>
    </w:p>
    <w:p w14:paraId="180C9E37"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4" w:history="1">
        <w:r w:rsidRPr="00507830">
          <w:rPr>
            <w:rStyle w:val="Hyperlink"/>
            <w:noProof/>
          </w:rPr>
          <w:t>Observation 9</w:t>
        </w:r>
        <w:r>
          <w:rPr>
            <w:rFonts w:asciiTheme="minorHAnsi" w:eastAsiaTheme="minorEastAsia" w:hAnsiTheme="minorHAnsi" w:cstheme="minorBidi"/>
            <w:b w:val="0"/>
            <w:noProof/>
            <w:sz w:val="22"/>
            <w:szCs w:val="22"/>
            <w:lang w:val="sv-SE" w:eastAsia="sv-SE"/>
          </w:rPr>
          <w:tab/>
        </w:r>
        <w:r w:rsidRPr="00507830">
          <w:rPr>
            <w:rStyle w:val="Hyperlink"/>
            <w:noProof/>
          </w:rPr>
          <w:t>Option 2 does not lead to any signalling reduction for PUSCH power control.</w:t>
        </w:r>
      </w:hyperlink>
    </w:p>
    <w:p w14:paraId="371E5416"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5" w:history="1">
        <w:r w:rsidRPr="00507830">
          <w:rPr>
            <w:rStyle w:val="Hyperlink"/>
            <w:noProof/>
          </w:rPr>
          <w:t>Observation 10</w:t>
        </w:r>
        <w:r>
          <w:rPr>
            <w:rFonts w:asciiTheme="minorHAnsi" w:eastAsiaTheme="minorEastAsia" w:hAnsiTheme="minorHAnsi" w:cstheme="minorBidi"/>
            <w:b w:val="0"/>
            <w:noProof/>
            <w:sz w:val="22"/>
            <w:szCs w:val="22"/>
            <w:lang w:val="sv-SE" w:eastAsia="sv-SE"/>
          </w:rPr>
          <w:tab/>
        </w:r>
        <w:r w:rsidRPr="00507830">
          <w:rPr>
            <w:rStyle w:val="Hyperlink"/>
            <w:noProof/>
          </w:rPr>
          <w:t>The MAC CE used to control the activation of ap-SRS and sp-SRS cannot be used to control the transmit power of PUSCH.</w:t>
        </w:r>
      </w:hyperlink>
    </w:p>
    <w:p w14:paraId="218C9AFF"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6" w:history="1">
        <w:r w:rsidRPr="00507830">
          <w:rPr>
            <w:rStyle w:val="Hyperlink"/>
            <w:noProof/>
          </w:rPr>
          <w:t>Observation 11</w:t>
        </w:r>
        <w:r>
          <w:rPr>
            <w:rFonts w:asciiTheme="minorHAnsi" w:eastAsiaTheme="minorEastAsia" w:hAnsiTheme="minorHAnsi" w:cstheme="minorBidi"/>
            <w:b w:val="0"/>
            <w:noProof/>
            <w:sz w:val="22"/>
            <w:szCs w:val="22"/>
            <w:lang w:val="sv-SE" w:eastAsia="sv-SE"/>
          </w:rPr>
          <w:tab/>
        </w:r>
        <w:r w:rsidRPr="00507830">
          <w:rPr>
            <w:rStyle w:val="Hyperlink"/>
            <w:noProof/>
          </w:rPr>
          <w:t>NR provides mechanisms to handle simultaneous transmissions of different UCI types.</w:t>
        </w:r>
      </w:hyperlink>
    </w:p>
    <w:p w14:paraId="2A22FBA9"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7" w:history="1">
        <w:r w:rsidRPr="00507830">
          <w:rPr>
            <w:rStyle w:val="Hyperlink"/>
            <w:noProof/>
          </w:rPr>
          <w:t>Observation 12</w:t>
        </w:r>
        <w:r>
          <w:rPr>
            <w:rFonts w:asciiTheme="minorHAnsi" w:eastAsiaTheme="minorEastAsia" w:hAnsiTheme="minorHAnsi" w:cstheme="minorBidi"/>
            <w:b w:val="0"/>
            <w:noProof/>
            <w:sz w:val="22"/>
            <w:szCs w:val="22"/>
            <w:lang w:val="sv-SE" w:eastAsia="sv-SE"/>
          </w:rPr>
          <w:tab/>
        </w:r>
        <w:r w:rsidRPr="00507830">
          <w:rPr>
            <w:rStyle w:val="Hyperlink"/>
            <w:noProof/>
          </w:rPr>
          <w:t>The MAC CE containing the information about which SCell failed and a potential new beam is self-contained.</w:t>
        </w:r>
      </w:hyperlink>
    </w:p>
    <w:p w14:paraId="1B1D3FC3"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8" w:history="1">
        <w:r w:rsidRPr="00507830">
          <w:rPr>
            <w:rStyle w:val="Hyperlink"/>
            <w:noProof/>
          </w:rPr>
          <w:t>Observation 13</w:t>
        </w:r>
        <w:r>
          <w:rPr>
            <w:rFonts w:asciiTheme="minorHAnsi" w:eastAsiaTheme="minorEastAsia" w:hAnsiTheme="minorHAnsi" w:cstheme="minorBidi"/>
            <w:b w:val="0"/>
            <w:noProof/>
            <w:sz w:val="22"/>
            <w:szCs w:val="22"/>
            <w:lang w:val="sv-SE" w:eastAsia="sv-SE"/>
          </w:rPr>
          <w:tab/>
        </w:r>
        <w:r w:rsidRPr="00507830">
          <w:rPr>
            <w:rStyle w:val="Hyperlink"/>
            <w:noProof/>
          </w:rPr>
          <w:t>In many cases, SR capacity is a bottleneck.</w:t>
        </w:r>
      </w:hyperlink>
    </w:p>
    <w:p w14:paraId="4C23EC9D"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49" w:history="1">
        <w:r w:rsidRPr="00507830">
          <w:rPr>
            <w:rStyle w:val="Hyperlink"/>
            <w:noProof/>
          </w:rPr>
          <w:t>Observation 14</w:t>
        </w:r>
        <w:r>
          <w:rPr>
            <w:rFonts w:asciiTheme="minorHAnsi" w:eastAsiaTheme="minorEastAsia" w:hAnsiTheme="minorHAnsi" w:cstheme="minorBidi"/>
            <w:b w:val="0"/>
            <w:noProof/>
            <w:sz w:val="22"/>
            <w:szCs w:val="22"/>
            <w:lang w:val="sv-SE" w:eastAsia="sv-SE"/>
          </w:rPr>
          <w:tab/>
        </w:r>
        <w:r w:rsidRPr="00507830">
          <w:rPr>
            <w:rStyle w:val="Hyperlink"/>
            <w:noProof/>
          </w:rPr>
          <w:t>The gNB must be able to derive the CMR and IMR based on the reported CRI/SSBRI.</w:t>
        </w:r>
      </w:hyperlink>
    </w:p>
    <w:p w14:paraId="19391589"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0" w:history="1">
        <w:r w:rsidRPr="00507830">
          <w:rPr>
            <w:rStyle w:val="Hyperlink"/>
            <w:noProof/>
          </w:rPr>
          <w:t>Observation 15</w:t>
        </w:r>
        <w:r>
          <w:rPr>
            <w:rFonts w:asciiTheme="minorHAnsi" w:eastAsiaTheme="minorEastAsia" w:hAnsiTheme="minorHAnsi" w:cstheme="minorBidi"/>
            <w:b w:val="0"/>
            <w:noProof/>
            <w:sz w:val="22"/>
            <w:szCs w:val="22"/>
            <w:lang w:val="sv-SE" w:eastAsia="sv-SE"/>
          </w:rPr>
          <w:tab/>
        </w:r>
        <w:r w:rsidRPr="00507830">
          <w:rPr>
            <w:rStyle w:val="Hyperlink"/>
            <w:noProof/>
          </w:rPr>
          <w:t>Option 2b provides the same configuration possibilities as option 1, but the RRC signalling is optimized for some configuration options.</w:t>
        </w:r>
      </w:hyperlink>
    </w:p>
    <w:p w14:paraId="3DFBDBB9"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1" w:history="1">
        <w:r w:rsidRPr="00507830">
          <w:rPr>
            <w:rStyle w:val="Hyperlink"/>
            <w:noProof/>
          </w:rPr>
          <w:t>Observation 16</w:t>
        </w:r>
        <w:r>
          <w:rPr>
            <w:rFonts w:asciiTheme="minorHAnsi" w:eastAsiaTheme="minorEastAsia" w:hAnsiTheme="minorHAnsi" w:cstheme="minorBidi"/>
            <w:b w:val="0"/>
            <w:noProof/>
            <w:sz w:val="22"/>
            <w:szCs w:val="22"/>
            <w:lang w:val="sv-SE" w:eastAsia="sv-SE"/>
          </w:rPr>
          <w:tab/>
        </w:r>
        <w:r w:rsidRPr="00507830">
          <w:rPr>
            <w:rStyle w:val="Hyperlink"/>
            <w:noProof/>
          </w:rPr>
          <w:t>The benefits of option 2c relative to option 2b are unclear.</w:t>
        </w:r>
      </w:hyperlink>
    </w:p>
    <w:p w14:paraId="02290F78"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2" w:history="1">
        <w:r w:rsidRPr="00507830">
          <w:rPr>
            <w:rStyle w:val="Hyperlink"/>
            <w:noProof/>
          </w:rPr>
          <w:t>Observation 17</w:t>
        </w:r>
        <w:r>
          <w:rPr>
            <w:rFonts w:asciiTheme="minorHAnsi" w:eastAsiaTheme="minorEastAsia" w:hAnsiTheme="minorHAnsi" w:cstheme="minorBidi"/>
            <w:b w:val="0"/>
            <w:noProof/>
            <w:sz w:val="22"/>
            <w:szCs w:val="22"/>
            <w:lang w:val="sv-SE" w:eastAsia="sv-SE"/>
          </w:rPr>
          <w:tab/>
        </w:r>
        <w:r w:rsidRPr="00507830">
          <w:rPr>
            <w:rStyle w:val="Hyperlink"/>
            <w:noProof/>
          </w:rPr>
          <w:t>Option 3 does not lead to any additional configuration possibility compared to option 1: it only reduces the RRC signalling for some configuration options.</w:t>
        </w:r>
      </w:hyperlink>
    </w:p>
    <w:p w14:paraId="7C43181A"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3" w:history="1">
        <w:r w:rsidRPr="00507830">
          <w:rPr>
            <w:rStyle w:val="Hyperlink"/>
            <w:noProof/>
          </w:rPr>
          <w:t>Observation 18</w:t>
        </w:r>
        <w:r>
          <w:rPr>
            <w:rFonts w:asciiTheme="minorHAnsi" w:eastAsiaTheme="minorEastAsia" w:hAnsiTheme="minorHAnsi" w:cstheme="minorBidi"/>
            <w:b w:val="0"/>
            <w:noProof/>
            <w:sz w:val="22"/>
            <w:szCs w:val="22"/>
            <w:lang w:val="sv-SE" w:eastAsia="sv-SE"/>
          </w:rPr>
          <w:tab/>
        </w:r>
        <w:r w:rsidRPr="00507830">
          <w:rPr>
            <w:rStyle w:val="Hyperlink"/>
            <w:noProof/>
          </w:rPr>
          <w:t>The reduction of RRC signalling in option 3 introduces restrictions on how the UE performs the RSRP measurement in the CMR.</w:t>
        </w:r>
      </w:hyperlink>
    </w:p>
    <w:p w14:paraId="35008F6A"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4" w:history="1">
        <w:r w:rsidRPr="00507830">
          <w:rPr>
            <w:rStyle w:val="Hyperlink"/>
            <w:noProof/>
          </w:rPr>
          <w:t>Observation 19</w:t>
        </w:r>
        <w:r>
          <w:rPr>
            <w:rFonts w:asciiTheme="minorHAnsi" w:eastAsiaTheme="minorEastAsia" w:hAnsiTheme="minorHAnsi" w:cstheme="minorBidi"/>
            <w:b w:val="0"/>
            <w:noProof/>
            <w:sz w:val="22"/>
            <w:szCs w:val="22"/>
            <w:lang w:val="sv-SE" w:eastAsia="sv-SE"/>
          </w:rPr>
          <w:tab/>
        </w:r>
        <w:r w:rsidRPr="00507830">
          <w:rPr>
            <w:rStyle w:val="Hyperlink"/>
            <w:noProof/>
          </w:rPr>
          <w:t>Increasing the size of the IMR will not automatically lead to better accuracy.</w:t>
        </w:r>
      </w:hyperlink>
    </w:p>
    <w:p w14:paraId="718AAA8C"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5" w:history="1">
        <w:r w:rsidRPr="00507830">
          <w:rPr>
            <w:rStyle w:val="Hyperlink"/>
            <w:noProof/>
          </w:rPr>
          <w:t>Observation 20</w:t>
        </w:r>
        <w:r>
          <w:rPr>
            <w:rFonts w:asciiTheme="minorHAnsi" w:eastAsiaTheme="minorEastAsia" w:hAnsiTheme="minorHAnsi" w:cstheme="minorBidi"/>
            <w:b w:val="0"/>
            <w:noProof/>
            <w:sz w:val="22"/>
            <w:szCs w:val="22"/>
            <w:lang w:val="sv-SE" w:eastAsia="sv-SE"/>
          </w:rPr>
          <w:tab/>
        </w:r>
        <w:r w:rsidRPr="00507830">
          <w:rPr>
            <w:rStyle w:val="Hyperlink"/>
            <w:noProof/>
          </w:rPr>
          <w:t>RAN4 will define RRM requirements for L1-SINR.</w:t>
        </w:r>
      </w:hyperlink>
    </w:p>
    <w:p w14:paraId="6FBDC347"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6" w:history="1">
        <w:r w:rsidRPr="00507830">
          <w:rPr>
            <w:rStyle w:val="Hyperlink"/>
            <w:noProof/>
          </w:rPr>
          <w:t>Observation 21</w:t>
        </w:r>
        <w:r>
          <w:rPr>
            <w:rFonts w:asciiTheme="minorHAnsi" w:eastAsiaTheme="minorEastAsia" w:hAnsiTheme="minorHAnsi" w:cstheme="minorBidi"/>
            <w:b w:val="0"/>
            <w:noProof/>
            <w:sz w:val="22"/>
            <w:szCs w:val="22"/>
            <w:lang w:val="sv-SE" w:eastAsia="sv-SE"/>
          </w:rPr>
          <w:tab/>
        </w:r>
        <w:r w:rsidRPr="00507830">
          <w:rPr>
            <w:rStyle w:val="Hyperlink"/>
            <w:noProof/>
          </w:rPr>
          <w:t>RAN4 has not defined interference for SINR, neither for LTE nor for NR: this has been left to UE implementation.</w:t>
        </w:r>
      </w:hyperlink>
    </w:p>
    <w:p w14:paraId="5DF975E6"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7" w:history="1">
        <w:r w:rsidRPr="00507830">
          <w:rPr>
            <w:rStyle w:val="Hyperlink"/>
            <w:noProof/>
          </w:rPr>
          <w:t>Observation 22</w:t>
        </w:r>
        <w:r>
          <w:rPr>
            <w:rFonts w:asciiTheme="minorHAnsi" w:eastAsiaTheme="minorEastAsia" w:hAnsiTheme="minorHAnsi" w:cstheme="minorBidi"/>
            <w:b w:val="0"/>
            <w:noProof/>
            <w:sz w:val="22"/>
            <w:szCs w:val="22"/>
            <w:lang w:val="sv-SE" w:eastAsia="sv-SE"/>
          </w:rPr>
          <w:tab/>
        </w:r>
        <w:r w:rsidRPr="00507830">
          <w:rPr>
            <w:rStyle w:val="Hyperlink"/>
            <w:noProof/>
          </w:rPr>
          <w:t>For CSI reporting in general, 3GPP has not specified how interference should be measured: it has been left up to UE implementation.</w:t>
        </w:r>
      </w:hyperlink>
    </w:p>
    <w:p w14:paraId="58126F60" w14:textId="0E5E4B34" w:rsidR="006E1C82" w:rsidRDefault="006F6582" w:rsidP="008E065E">
      <w:pPr>
        <w:pStyle w:val="BodyText"/>
        <w:rPr>
          <w:b/>
          <w:bCs/>
        </w:rPr>
      </w:pPr>
      <w:r>
        <w:rPr>
          <w:b/>
          <w:bCs/>
        </w:rPr>
        <w:fldChar w:fldCharType="end"/>
      </w:r>
    </w:p>
    <w:p w14:paraId="5647A6F1" w14:textId="77777777" w:rsidR="006E1C82" w:rsidRDefault="006E1C82" w:rsidP="008E065E">
      <w:pPr>
        <w:pStyle w:val="BodyText"/>
        <w:rPr>
          <w:b/>
          <w:bCs/>
        </w:rPr>
      </w:pPr>
    </w:p>
    <w:p w14:paraId="15DC491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7FC284" w14:textId="77777777" w:rsidR="00DF354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98158" w:history="1">
        <w:r w:rsidR="00DF354B" w:rsidRPr="00514170">
          <w:rPr>
            <w:rStyle w:val="Hyperlink"/>
            <w:noProof/>
          </w:rPr>
          <w:t>Proposal 1</w:t>
        </w:r>
        <w:r w:rsidR="00DF354B">
          <w:rPr>
            <w:rFonts w:asciiTheme="minorHAnsi" w:eastAsiaTheme="minorEastAsia" w:hAnsiTheme="minorHAnsi" w:cstheme="minorBidi"/>
            <w:b w:val="0"/>
            <w:noProof/>
            <w:sz w:val="22"/>
            <w:szCs w:val="22"/>
            <w:lang w:val="sv-SE" w:eastAsia="sv-SE"/>
          </w:rPr>
          <w:tab/>
        </w:r>
        <w:r w:rsidR="00DF354B" w:rsidRPr="00514170">
          <w:rPr>
            <w:rStyle w:val="Hyperlink"/>
            <w:noProof/>
          </w:rPr>
          <w:t>Confirm the working assumption about at least 2 groups of PUCCH resources.</w:t>
        </w:r>
      </w:hyperlink>
    </w:p>
    <w:p w14:paraId="7F561858"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59" w:history="1">
        <w:r w:rsidRPr="00514170">
          <w:rPr>
            <w:rStyle w:val="Hyperlink"/>
            <w:noProof/>
          </w:rPr>
          <w:t>Proposal 2</w:t>
        </w:r>
        <w:r>
          <w:rPr>
            <w:rFonts w:asciiTheme="minorHAnsi" w:eastAsiaTheme="minorEastAsia" w:hAnsiTheme="minorHAnsi" w:cstheme="minorBidi"/>
            <w:b w:val="0"/>
            <w:noProof/>
            <w:sz w:val="22"/>
            <w:szCs w:val="22"/>
            <w:lang w:val="sv-SE" w:eastAsia="sv-SE"/>
          </w:rPr>
          <w:tab/>
        </w:r>
        <w:r w:rsidRPr="00514170">
          <w:rPr>
            <w:rStyle w:val="Hyperlink"/>
            <w:noProof/>
          </w:rPr>
          <w:t>Introduce 4 groups of PUCCH resources.</w:t>
        </w:r>
      </w:hyperlink>
    </w:p>
    <w:p w14:paraId="24F0D25E"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0" w:history="1">
        <w:r w:rsidRPr="00514170">
          <w:rPr>
            <w:rStyle w:val="Hyperlink"/>
            <w:noProof/>
          </w:rPr>
          <w:t>Proposal 3</w:t>
        </w:r>
        <w:r>
          <w:rPr>
            <w:rFonts w:asciiTheme="minorHAnsi" w:eastAsiaTheme="minorEastAsia" w:hAnsiTheme="minorHAnsi" w:cstheme="minorBidi"/>
            <w:b w:val="0"/>
            <w:noProof/>
            <w:sz w:val="22"/>
            <w:szCs w:val="22"/>
            <w:lang w:val="sv-SE" w:eastAsia="sv-SE"/>
          </w:rPr>
          <w:tab/>
        </w:r>
        <w:r w:rsidRPr="00514170">
          <w:rPr>
            <w:rStyle w:val="Hyperlink"/>
            <w:noProof/>
          </w:rPr>
          <w:t>A PUCCH group is defined explicitly and contains a number of PUCCH resources.</w:t>
        </w:r>
      </w:hyperlink>
    </w:p>
    <w:p w14:paraId="45C3374A"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1" w:history="1">
        <w:r w:rsidRPr="00514170">
          <w:rPr>
            <w:rStyle w:val="Hyperlink"/>
            <w:noProof/>
          </w:rPr>
          <w:t>Proposal 4</w:t>
        </w:r>
        <w:r>
          <w:rPr>
            <w:rFonts w:asciiTheme="minorHAnsi" w:eastAsiaTheme="minorEastAsia" w:hAnsiTheme="minorHAnsi" w:cstheme="minorBidi"/>
            <w:b w:val="0"/>
            <w:noProof/>
            <w:sz w:val="22"/>
            <w:szCs w:val="22"/>
            <w:lang w:val="sv-SE" w:eastAsia="sv-SE"/>
          </w:rPr>
          <w:tab/>
        </w:r>
        <w:r w:rsidRPr="00514170">
          <w:rPr>
            <w:rStyle w:val="Hyperlink"/>
            <w:noProof/>
          </w:rPr>
          <w:t>A PUCCH group can contain PUCCH resources from different serving cells.</w:t>
        </w:r>
      </w:hyperlink>
    </w:p>
    <w:p w14:paraId="6D2CF53C"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2" w:history="1">
        <w:r w:rsidRPr="00514170">
          <w:rPr>
            <w:rStyle w:val="Hyperlink"/>
            <w:noProof/>
          </w:rPr>
          <w:t>Proposal 5</w:t>
        </w:r>
        <w:r>
          <w:rPr>
            <w:rFonts w:asciiTheme="minorHAnsi" w:eastAsiaTheme="minorEastAsia" w:hAnsiTheme="minorHAnsi" w:cstheme="minorBidi"/>
            <w:b w:val="0"/>
            <w:noProof/>
            <w:sz w:val="22"/>
            <w:szCs w:val="22"/>
            <w:lang w:val="sv-SE" w:eastAsia="sv-SE"/>
          </w:rPr>
          <w:tab/>
        </w:r>
        <w:r w:rsidRPr="00514170">
          <w:rPr>
            <w:rStyle w:val="Hyperlink"/>
            <w:noProof/>
          </w:rPr>
          <w:t>Send an LS to RAN2 asking RAN2 to define the signalling related to the PUCCH group. The PUCCH group has the following properties:</w:t>
        </w:r>
      </w:hyperlink>
    </w:p>
    <w:p w14:paraId="70C8F974"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3" w:history="1">
        <w:r w:rsidRPr="00514170">
          <w:rPr>
            <w:rStyle w:val="Hyperlink"/>
            <w:noProof/>
          </w:rPr>
          <w:t>a.</w:t>
        </w:r>
        <w:r>
          <w:rPr>
            <w:rFonts w:asciiTheme="minorHAnsi" w:eastAsiaTheme="minorEastAsia" w:hAnsiTheme="minorHAnsi" w:cstheme="minorBidi"/>
            <w:b w:val="0"/>
            <w:noProof/>
            <w:sz w:val="22"/>
            <w:szCs w:val="22"/>
            <w:lang w:val="sv-SE" w:eastAsia="sv-SE"/>
          </w:rPr>
          <w:tab/>
        </w:r>
        <w:r w:rsidRPr="00514170">
          <w:rPr>
            <w:rStyle w:val="Hyperlink"/>
            <w:noProof/>
          </w:rPr>
          <w:t>A PUCCH group is explicitly defined and contains PUCCH resources potentially in different serving cells and in different BWPs.</w:t>
        </w:r>
      </w:hyperlink>
    </w:p>
    <w:p w14:paraId="6916BE51"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4" w:history="1">
        <w:r w:rsidRPr="00514170">
          <w:rPr>
            <w:rStyle w:val="Hyperlink"/>
            <w:noProof/>
          </w:rPr>
          <w:t>b.</w:t>
        </w:r>
        <w:r>
          <w:rPr>
            <w:rFonts w:asciiTheme="minorHAnsi" w:eastAsiaTheme="minorEastAsia" w:hAnsiTheme="minorHAnsi" w:cstheme="minorBidi"/>
            <w:b w:val="0"/>
            <w:noProof/>
            <w:sz w:val="22"/>
            <w:szCs w:val="22"/>
            <w:lang w:val="sv-SE" w:eastAsia="sv-SE"/>
          </w:rPr>
          <w:tab/>
        </w:r>
        <w:r w:rsidRPr="00514170">
          <w:rPr>
            <w:rStyle w:val="Hyperlink"/>
            <w:noProof/>
          </w:rPr>
          <w:t>A MAC CE is required to update the spatial relation of all PUCCH resources in a PUCCH group.</w:t>
        </w:r>
      </w:hyperlink>
    </w:p>
    <w:p w14:paraId="289007EA"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5" w:history="1">
        <w:r w:rsidRPr="00514170">
          <w:rPr>
            <w:rStyle w:val="Hyperlink"/>
            <w:noProof/>
          </w:rPr>
          <w:t>Proposal 6</w:t>
        </w:r>
        <w:r>
          <w:rPr>
            <w:rFonts w:asciiTheme="minorHAnsi" w:eastAsiaTheme="minorEastAsia" w:hAnsiTheme="minorHAnsi" w:cstheme="minorBidi"/>
            <w:b w:val="0"/>
            <w:noProof/>
            <w:sz w:val="22"/>
            <w:szCs w:val="22"/>
            <w:lang w:val="sv-SE" w:eastAsia="sv-SE"/>
          </w:rPr>
          <w:tab/>
        </w:r>
        <w:r w:rsidRPr="00514170">
          <w:rPr>
            <w:rStyle w:val="Hyperlink"/>
            <w:noProof/>
          </w:rPr>
          <w:t xml:space="preserve">If spatial relation info for dedicated-PUCCH/SRS, except for SRS with usage = 'BeamManagement', is not configured in FR2, the UE applies the spatial relation </w:t>
        </w:r>
        <w:r w:rsidRPr="00514170">
          <w:rPr>
            <w:rStyle w:val="Hyperlink"/>
            <w:noProof/>
          </w:rPr>
          <w:lastRenderedPageBreak/>
          <w:t>corresponding to the RS in the default TCI state for PDSCH, as defined in 38.214, section 5.1.5: the lowest CORESET-ID in the latest slot in which one or more CORESETs within the active BWP of the serving cell are monitored by the UE.</w:t>
        </w:r>
      </w:hyperlink>
    </w:p>
    <w:p w14:paraId="388C515C"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6" w:history="1">
        <w:r w:rsidRPr="00514170">
          <w:rPr>
            <w:rStyle w:val="Hyperlink"/>
            <w:noProof/>
          </w:rPr>
          <w:t>Proposal 7</w:t>
        </w:r>
        <w:r>
          <w:rPr>
            <w:rFonts w:asciiTheme="minorHAnsi" w:eastAsiaTheme="minorEastAsia" w:hAnsiTheme="minorHAnsi" w:cstheme="minorBidi"/>
            <w:b w:val="0"/>
            <w:noProof/>
            <w:sz w:val="22"/>
            <w:szCs w:val="22"/>
            <w:lang w:val="sv-SE" w:eastAsia="sv-SE"/>
          </w:rPr>
          <w:tab/>
        </w:r>
        <w:r w:rsidRPr="00514170">
          <w:rPr>
            <w:rStyle w:val="Hyperlink"/>
            <w:noProof/>
          </w:rPr>
          <w:t>No restrictions are introduced in the standard on what UEs support the default spatial relation.</w:t>
        </w:r>
      </w:hyperlink>
    </w:p>
    <w:p w14:paraId="7A19F67B"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7" w:history="1">
        <w:r w:rsidRPr="00514170">
          <w:rPr>
            <w:rStyle w:val="Hyperlink"/>
            <w:noProof/>
          </w:rPr>
          <w:t>Proposal 8</w:t>
        </w:r>
        <w:r>
          <w:rPr>
            <w:rFonts w:asciiTheme="minorHAnsi" w:eastAsiaTheme="minorEastAsia" w:hAnsiTheme="minorHAnsi" w:cstheme="minorBidi"/>
            <w:b w:val="0"/>
            <w:noProof/>
            <w:sz w:val="22"/>
            <w:szCs w:val="22"/>
            <w:lang w:val="sv-SE" w:eastAsia="sv-SE"/>
          </w:rPr>
          <w:tab/>
        </w:r>
        <w:r w:rsidRPr="00514170">
          <w:rPr>
            <w:rStyle w:val="Hyperlink"/>
            <w:noProof/>
          </w:rPr>
          <w:t>Any signalling reduction for TCI state activation across CCs should also be applicable to the case where TciPresentInDci is not defined, i.e., when PDSCH follows PDCCH.</w:t>
        </w:r>
      </w:hyperlink>
    </w:p>
    <w:p w14:paraId="5111D880"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8" w:history="1">
        <w:r w:rsidRPr="00514170">
          <w:rPr>
            <w:rStyle w:val="Hyperlink"/>
            <w:noProof/>
          </w:rPr>
          <w:t>Proposal 9</w:t>
        </w:r>
        <w:r>
          <w:rPr>
            <w:rFonts w:asciiTheme="minorHAnsi" w:eastAsiaTheme="minorEastAsia" w:hAnsiTheme="minorHAnsi" w:cstheme="minorBidi"/>
            <w:b w:val="0"/>
            <w:noProof/>
            <w:sz w:val="22"/>
            <w:szCs w:val="22"/>
            <w:lang w:val="sv-SE" w:eastAsia="sv-SE"/>
          </w:rPr>
          <w:tab/>
        </w:r>
        <w:r w:rsidRPr="00514170">
          <w:rPr>
            <w:rStyle w:val="Hyperlink"/>
            <w:noProof/>
          </w:rPr>
          <w:t>Introduce MAC CE signalling that facilitates simultaneous activation of TCI states across CCs for PDCCH and PDSCH.</w:t>
        </w:r>
      </w:hyperlink>
    </w:p>
    <w:p w14:paraId="34AB7E3E"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69" w:history="1">
        <w:r w:rsidRPr="00514170">
          <w:rPr>
            <w:rStyle w:val="Hyperlink"/>
            <w:noProof/>
          </w:rPr>
          <w:t>Proposal 10</w:t>
        </w:r>
        <w:r>
          <w:rPr>
            <w:rFonts w:asciiTheme="minorHAnsi" w:eastAsiaTheme="minorEastAsia" w:hAnsiTheme="minorHAnsi" w:cstheme="minorBidi"/>
            <w:b w:val="0"/>
            <w:noProof/>
            <w:sz w:val="22"/>
            <w:szCs w:val="22"/>
            <w:lang w:val="sv-SE" w:eastAsia="sv-SE"/>
          </w:rPr>
          <w:tab/>
        </w:r>
        <w:r w:rsidRPr="00514170">
          <w:rPr>
            <w:rStyle w:val="Hyperlink"/>
            <w:noProof/>
          </w:rPr>
          <w:t>Send an LS to RAN2 asking them to design the signalling.</w:t>
        </w:r>
      </w:hyperlink>
    </w:p>
    <w:p w14:paraId="3216DEE6"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0" w:history="1">
        <w:r w:rsidRPr="00514170">
          <w:rPr>
            <w:rStyle w:val="Hyperlink"/>
            <w:noProof/>
          </w:rPr>
          <w:t>Proposal 11</w:t>
        </w:r>
        <w:r>
          <w:rPr>
            <w:rFonts w:asciiTheme="minorHAnsi" w:eastAsiaTheme="minorEastAsia" w:hAnsiTheme="minorHAnsi" w:cstheme="minorBidi"/>
            <w:b w:val="0"/>
            <w:noProof/>
            <w:sz w:val="22"/>
            <w:szCs w:val="22"/>
            <w:lang w:val="sv-SE" w:eastAsia="sv-SE"/>
          </w:rPr>
          <w:tab/>
        </w:r>
        <w:r w:rsidRPr="00514170">
          <w:rPr>
            <w:rStyle w:val="Hyperlink"/>
            <w:noProof/>
          </w:rPr>
          <w:t>Define new MAC CE(s) to assign/activate the pathloss reference RS for PUSCH and SRS.</w:t>
        </w:r>
      </w:hyperlink>
    </w:p>
    <w:p w14:paraId="3271F73F"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1" w:history="1">
        <w:r w:rsidRPr="00514170">
          <w:rPr>
            <w:rStyle w:val="Hyperlink"/>
            <w:noProof/>
          </w:rPr>
          <w:t>Proposal 12</w:t>
        </w:r>
        <w:r>
          <w:rPr>
            <w:rFonts w:asciiTheme="minorHAnsi" w:eastAsiaTheme="minorEastAsia" w:hAnsiTheme="minorHAnsi" w:cstheme="minorBidi"/>
            <w:b w:val="0"/>
            <w:noProof/>
            <w:sz w:val="22"/>
            <w:szCs w:val="22"/>
            <w:lang w:val="sv-SE" w:eastAsia="sv-SE"/>
          </w:rPr>
          <w:tab/>
        </w:r>
        <w:r w:rsidRPr="00514170">
          <w:rPr>
            <w:rStyle w:val="Hyperlink"/>
            <w:noProof/>
          </w:rPr>
          <w:t>The design of any MAC CE to assign/activate the pathloss reference RS for PUSCH and SRS is left to RAN2.</w:t>
        </w:r>
      </w:hyperlink>
    </w:p>
    <w:p w14:paraId="5926EF9F"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2" w:history="1">
        <w:r w:rsidRPr="00514170">
          <w:rPr>
            <w:rStyle w:val="Hyperlink"/>
            <w:noProof/>
          </w:rPr>
          <w:t>Proposal 13</w:t>
        </w:r>
        <w:r>
          <w:rPr>
            <w:rFonts w:asciiTheme="minorHAnsi" w:eastAsiaTheme="minorEastAsia" w:hAnsiTheme="minorHAnsi" w:cstheme="minorBidi"/>
            <w:b w:val="0"/>
            <w:noProof/>
            <w:sz w:val="22"/>
            <w:szCs w:val="22"/>
            <w:lang w:val="sv-SE" w:eastAsia="sv-SE"/>
          </w:rPr>
          <w:tab/>
        </w:r>
        <w:r w:rsidRPr="00514170">
          <w:rPr>
            <w:rStyle w:val="Hyperlink"/>
            <w:noProof/>
          </w:rPr>
          <w:t>The agreed solution based on PUCCH and MAC CE is the only solution for SCell BFR.</w:t>
        </w:r>
      </w:hyperlink>
    </w:p>
    <w:p w14:paraId="45C38865"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3" w:history="1">
        <w:r w:rsidRPr="00514170">
          <w:rPr>
            <w:rStyle w:val="Hyperlink"/>
            <w:noProof/>
          </w:rPr>
          <w:t>Proposal 14</w:t>
        </w:r>
        <w:r>
          <w:rPr>
            <w:rFonts w:asciiTheme="minorHAnsi" w:eastAsiaTheme="minorEastAsia" w:hAnsiTheme="minorHAnsi" w:cstheme="minorBidi"/>
            <w:b w:val="0"/>
            <w:noProof/>
            <w:sz w:val="22"/>
            <w:szCs w:val="22"/>
            <w:lang w:val="sv-SE" w:eastAsia="sv-SE"/>
          </w:rPr>
          <w:tab/>
        </w:r>
        <w:r w:rsidRPr="00514170">
          <w:rPr>
            <w:rStyle w:val="Hyperlink"/>
            <w:noProof/>
          </w:rPr>
          <w:t>PUCCH-BFR can be configured also on SCells.</w:t>
        </w:r>
      </w:hyperlink>
    </w:p>
    <w:p w14:paraId="7954582A"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4" w:history="1">
        <w:r w:rsidRPr="00514170">
          <w:rPr>
            <w:rStyle w:val="Hyperlink"/>
            <w:noProof/>
          </w:rPr>
          <w:t>Proposal 15</w:t>
        </w:r>
        <w:r>
          <w:rPr>
            <w:rFonts w:asciiTheme="minorHAnsi" w:eastAsiaTheme="minorEastAsia" w:hAnsiTheme="minorHAnsi" w:cstheme="minorBidi"/>
            <w:b w:val="0"/>
            <w:noProof/>
            <w:sz w:val="22"/>
            <w:szCs w:val="22"/>
            <w:lang w:val="sv-SE" w:eastAsia="sv-SE"/>
          </w:rPr>
          <w:tab/>
        </w:r>
        <w:r w:rsidRPr="00514170">
          <w:rPr>
            <w:rStyle w:val="Hyperlink"/>
            <w:noProof/>
          </w:rPr>
          <w:t>Do not define new prioritization rules in RAN1 due to the introduction of PUCCH-BFR.</w:t>
        </w:r>
      </w:hyperlink>
    </w:p>
    <w:p w14:paraId="33C73C6B"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5" w:history="1">
        <w:r w:rsidRPr="00514170">
          <w:rPr>
            <w:rStyle w:val="Hyperlink"/>
            <w:noProof/>
          </w:rPr>
          <w:t>Proposal 16</w:t>
        </w:r>
        <w:r>
          <w:rPr>
            <w:rFonts w:asciiTheme="minorHAnsi" w:eastAsiaTheme="minorEastAsia" w:hAnsiTheme="minorHAnsi" w:cstheme="minorBidi"/>
            <w:b w:val="0"/>
            <w:noProof/>
            <w:sz w:val="22"/>
            <w:szCs w:val="22"/>
            <w:lang w:val="sv-SE" w:eastAsia="sv-SE"/>
          </w:rPr>
          <w:tab/>
        </w:r>
        <w:r w:rsidRPr="00514170">
          <w:rPr>
            <w:rStyle w:val="Hyperlink"/>
            <w:noProof/>
          </w:rPr>
          <w:t>If an SR-like PUCCH resource is not configured, the UE requests UL resources to transmit the BFRQ MAC CE using the normal SR procedure.</w:t>
        </w:r>
      </w:hyperlink>
    </w:p>
    <w:p w14:paraId="7D65A3C4"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6" w:history="1">
        <w:r w:rsidRPr="00514170">
          <w:rPr>
            <w:rStyle w:val="Hyperlink"/>
            <w:noProof/>
          </w:rPr>
          <w:t>Proposal 17</w:t>
        </w:r>
        <w:r>
          <w:rPr>
            <w:rFonts w:asciiTheme="minorHAnsi" w:eastAsiaTheme="minorEastAsia" w:hAnsiTheme="minorHAnsi" w:cstheme="minorBidi"/>
            <w:b w:val="0"/>
            <w:noProof/>
            <w:sz w:val="22"/>
            <w:szCs w:val="22"/>
            <w:lang w:val="sv-SE" w:eastAsia="sv-SE"/>
          </w:rPr>
          <w:tab/>
        </w:r>
        <w:r w:rsidRPr="00514170">
          <w:rPr>
            <w:rStyle w:val="Hyperlink"/>
            <w:noProof/>
          </w:rPr>
          <w:t>The step size of the differential SINR is 0.5dB.</w:t>
        </w:r>
      </w:hyperlink>
    </w:p>
    <w:p w14:paraId="3F48A0AC"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7" w:history="1">
        <w:r w:rsidRPr="00514170">
          <w:rPr>
            <w:rStyle w:val="Hyperlink"/>
            <w:noProof/>
          </w:rPr>
          <w:t>Proposal 18</w:t>
        </w:r>
        <w:r>
          <w:rPr>
            <w:rFonts w:asciiTheme="minorHAnsi" w:eastAsiaTheme="minorEastAsia" w:hAnsiTheme="minorHAnsi" w:cstheme="minorBidi"/>
            <w:b w:val="0"/>
            <w:noProof/>
            <w:sz w:val="22"/>
            <w:szCs w:val="22"/>
            <w:lang w:val="sv-SE" w:eastAsia="sv-SE"/>
          </w:rPr>
          <w:tab/>
        </w:r>
        <w:r w:rsidRPr="00514170">
          <w:rPr>
            <w:rStyle w:val="Hyperlink"/>
            <w:noProof/>
          </w:rPr>
          <w:t>Use 5 bits to represent the differential SINR.</w:t>
        </w:r>
      </w:hyperlink>
    </w:p>
    <w:p w14:paraId="6048B3BC"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8" w:history="1">
        <w:r w:rsidRPr="00514170">
          <w:rPr>
            <w:rStyle w:val="Hyperlink"/>
            <w:noProof/>
          </w:rPr>
          <w:t>Proposal 19</w:t>
        </w:r>
        <w:r>
          <w:rPr>
            <w:rFonts w:asciiTheme="minorHAnsi" w:eastAsiaTheme="minorEastAsia" w:hAnsiTheme="minorHAnsi" w:cstheme="minorBidi"/>
            <w:b w:val="0"/>
            <w:noProof/>
            <w:sz w:val="22"/>
            <w:szCs w:val="22"/>
            <w:lang w:val="sv-SE" w:eastAsia="sv-SE"/>
          </w:rPr>
          <w:tab/>
        </w:r>
        <w:r w:rsidRPr="00514170">
          <w:rPr>
            <w:rStyle w:val="Hyperlink"/>
            <w:noProof/>
          </w:rPr>
          <w:t>Adopt option 1: CMR and IMR are 1-to-1 mapped.</w:t>
        </w:r>
      </w:hyperlink>
    </w:p>
    <w:p w14:paraId="6024178D" w14:textId="77777777" w:rsidR="00DF354B" w:rsidRDefault="00DF354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98179" w:history="1">
        <w:r w:rsidRPr="00514170">
          <w:rPr>
            <w:rStyle w:val="Hyperlink"/>
            <w:noProof/>
          </w:rPr>
          <w:t>Proposal 20</w:t>
        </w:r>
        <w:r>
          <w:rPr>
            <w:rFonts w:asciiTheme="minorHAnsi" w:eastAsiaTheme="minorEastAsia" w:hAnsiTheme="minorHAnsi" w:cstheme="minorBidi"/>
            <w:b w:val="0"/>
            <w:noProof/>
            <w:sz w:val="22"/>
            <w:szCs w:val="22"/>
            <w:lang w:val="sv-SE" w:eastAsia="sv-SE"/>
          </w:rPr>
          <w:tab/>
        </w:r>
        <w:r w:rsidRPr="00514170">
          <w:rPr>
            <w:rStyle w:val="Hyperlink"/>
            <w:noProof/>
          </w:rPr>
          <w:t>RAN1 does not define interference in context of L1-SINR reporting.</w:t>
        </w:r>
      </w:hyperlink>
    </w:p>
    <w:p w14:paraId="35B8240B" w14:textId="4F355160" w:rsidR="00C01F33" w:rsidRPr="00ED5449" w:rsidRDefault="006E1C82" w:rsidP="00ED5449">
      <w:pPr>
        <w:pStyle w:val="BodyText"/>
        <w:rPr>
          <w:b/>
          <w:bCs/>
        </w:rPr>
      </w:pPr>
      <w:r>
        <w:rPr>
          <w:b/>
          <w:bCs/>
          <w:lang w:val="en-US"/>
        </w:rPr>
        <w:fldChar w:fldCharType="end"/>
      </w:r>
      <w:r w:rsidRPr="00CE0424">
        <w:rPr>
          <w:b/>
          <w:bCs/>
        </w:rPr>
        <w:t xml:space="preserve"> </w:t>
      </w:r>
    </w:p>
    <w:p w14:paraId="744B9BC7" w14:textId="77777777" w:rsidR="00F507D1" w:rsidRPr="00CE0424" w:rsidRDefault="00F507D1" w:rsidP="00CE0424">
      <w:pPr>
        <w:pStyle w:val="Heading1"/>
      </w:pPr>
      <w:bookmarkStart w:id="48" w:name="_In-sequence_SDU_delivery"/>
      <w:bookmarkEnd w:id="48"/>
      <w:r w:rsidRPr="00CE0424">
        <w:t>References</w:t>
      </w:r>
    </w:p>
    <w:p w14:paraId="13A4082C" w14:textId="53211A1C" w:rsidR="005F3025" w:rsidRPr="00CE0424" w:rsidRDefault="004A2BFD" w:rsidP="00311702">
      <w:pPr>
        <w:pStyle w:val="Reference"/>
      </w:pPr>
      <w:bookmarkStart w:id="49" w:name="_Ref20812105"/>
      <w:bookmarkStart w:id="50" w:name="_Ref174151459"/>
      <w:bookmarkStart w:id="51" w:name="_Ref189809556"/>
      <w:r w:rsidRPr="004A2BFD">
        <w:t>RP-192271</w:t>
      </w:r>
      <w:r>
        <w:t xml:space="preserve">, </w:t>
      </w:r>
      <w:r w:rsidRPr="004A2BFD">
        <w:t>Revised WID: Enhancements on MIMO for NR</w:t>
      </w:r>
      <w:r>
        <w:t>, Samsung, RAN#85, Newport Beach, September 2019</w:t>
      </w:r>
      <w:bookmarkEnd w:id="49"/>
    </w:p>
    <w:p w14:paraId="6D59E329" w14:textId="16A3E8C5" w:rsidR="008E72BE" w:rsidRDefault="008E72BE" w:rsidP="008E72BE">
      <w:pPr>
        <w:pStyle w:val="Reference"/>
      </w:pPr>
      <w:bookmarkStart w:id="52" w:name="_Ref20829915"/>
      <w:r>
        <w:t xml:space="preserve">3GPP TS 38.213, NR; </w:t>
      </w:r>
      <w:r w:rsidRPr="00D11F23">
        <w:t xml:space="preserve">Physical layer procedures for </w:t>
      </w:r>
      <w:r>
        <w:t>control, RAN#85, V15.7.0, September 2019</w:t>
      </w:r>
      <w:bookmarkEnd w:id="52"/>
    </w:p>
    <w:p w14:paraId="29257E0C" w14:textId="4FFC5DAF" w:rsidR="008E72BE" w:rsidRDefault="008E72BE" w:rsidP="008E72BE">
      <w:pPr>
        <w:pStyle w:val="Reference"/>
      </w:pPr>
      <w:bookmarkStart w:id="53" w:name="_Ref20830243"/>
      <w:r>
        <w:t xml:space="preserve">R1-199833, </w:t>
      </w:r>
      <w:r w:rsidRPr="008E72BE">
        <w:t>Reply LS on MAC CE design for SCell BFR</w:t>
      </w:r>
      <w:r>
        <w:t>, RAN1#98, Prague, August 2019</w:t>
      </w:r>
      <w:bookmarkEnd w:id="53"/>
    </w:p>
    <w:p w14:paraId="1FA2D140" w14:textId="33DFBA48" w:rsidR="00AE6120" w:rsidRDefault="00AE6120" w:rsidP="00AE6120">
      <w:pPr>
        <w:pStyle w:val="Reference"/>
      </w:pPr>
      <w:bookmarkStart w:id="54" w:name="_Ref20833724"/>
      <w:r>
        <w:t>3GPP TS 38.133, NR; Requirements for support of radio resource management, V15.7.0, RAN#85, Newport Beach, September 2019</w:t>
      </w:r>
      <w:bookmarkEnd w:id="54"/>
    </w:p>
    <w:p w14:paraId="28FA2E21" w14:textId="0DD6F4A4" w:rsidR="00CF302F" w:rsidRPr="00CE0424" w:rsidRDefault="00CF302F" w:rsidP="009924B4">
      <w:pPr>
        <w:pStyle w:val="Reference"/>
      </w:pPr>
      <w:bookmarkStart w:id="55" w:name="_Ref20924651"/>
      <w:r>
        <w:t>3GPP TS 38.215, NR; Physical layer measurements, V15.5.0, RAN#84, Newport beach, June 2019</w:t>
      </w:r>
      <w:bookmarkEnd w:id="55"/>
    </w:p>
    <w:bookmarkEnd w:id="50"/>
    <w:bookmarkEnd w:id="51"/>
    <w:p w14:paraId="4E39AD6A"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7FFD1" w14:textId="77777777" w:rsidR="00384AC2" w:rsidRDefault="00384AC2">
      <w:r>
        <w:separator/>
      </w:r>
    </w:p>
  </w:endnote>
  <w:endnote w:type="continuationSeparator" w:id="0">
    <w:p w14:paraId="77168764" w14:textId="77777777" w:rsidR="00384AC2" w:rsidRDefault="00384AC2">
      <w:r>
        <w:continuationSeparator/>
      </w:r>
    </w:p>
  </w:endnote>
  <w:endnote w:type="continuationNotice" w:id="1">
    <w:p w14:paraId="73B624B0" w14:textId="77777777" w:rsidR="00384AC2" w:rsidRDefault="0038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669C4" w14:textId="77777777" w:rsidR="00384AC2" w:rsidRDefault="00384A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326B9" w14:textId="77777777" w:rsidR="00384AC2" w:rsidRDefault="00384AC2">
      <w:r>
        <w:separator/>
      </w:r>
    </w:p>
  </w:footnote>
  <w:footnote w:type="continuationSeparator" w:id="0">
    <w:p w14:paraId="54A510F1" w14:textId="77777777" w:rsidR="00384AC2" w:rsidRDefault="00384AC2">
      <w:r>
        <w:continuationSeparator/>
      </w:r>
    </w:p>
  </w:footnote>
  <w:footnote w:type="continuationNotice" w:id="1">
    <w:p w14:paraId="0679F0A7" w14:textId="77777777" w:rsidR="00384AC2" w:rsidRDefault="00384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BCE2B" w14:textId="77777777" w:rsidR="00384AC2" w:rsidRDefault="00384A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8A5FBE"/>
    <w:multiLevelType w:val="multilevel"/>
    <w:tmpl w:val="87F4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F242D5"/>
    <w:multiLevelType w:val="multilevel"/>
    <w:tmpl w:val="581ED0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B8373E"/>
    <w:multiLevelType w:val="hybridMultilevel"/>
    <w:tmpl w:val="E410F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FE599C"/>
    <w:multiLevelType w:val="multilevel"/>
    <w:tmpl w:val="ECAAEA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C56651"/>
    <w:multiLevelType w:val="multilevel"/>
    <w:tmpl w:val="F5321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036A9C"/>
    <w:multiLevelType w:val="multilevel"/>
    <w:tmpl w:val="3DF8BB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6861C3"/>
    <w:multiLevelType w:val="multilevel"/>
    <w:tmpl w:val="63423D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02336"/>
    <w:multiLevelType w:val="multilevel"/>
    <w:tmpl w:val="0A6AE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ED16A1"/>
    <w:multiLevelType w:val="multilevel"/>
    <w:tmpl w:val="CCAECD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A929C2"/>
    <w:multiLevelType w:val="multilevel"/>
    <w:tmpl w:val="500AF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CD23FB"/>
    <w:multiLevelType w:val="multilevel"/>
    <w:tmpl w:val="3048C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4952EF"/>
    <w:multiLevelType w:val="multilevel"/>
    <w:tmpl w:val="A58A0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B311D6"/>
    <w:multiLevelType w:val="multilevel"/>
    <w:tmpl w:val="086EDC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7D79E4"/>
    <w:multiLevelType w:val="multilevel"/>
    <w:tmpl w:val="E18C6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C051E1"/>
    <w:multiLevelType w:val="multilevel"/>
    <w:tmpl w:val="D422C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A072B8"/>
    <w:multiLevelType w:val="multilevel"/>
    <w:tmpl w:val="8AD221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25"/>
  </w:num>
  <w:num w:numId="3">
    <w:abstractNumId w:val="19"/>
  </w:num>
  <w:num w:numId="4">
    <w:abstractNumId w:val="20"/>
  </w:num>
  <w:num w:numId="5">
    <w:abstractNumId w:val="16"/>
  </w:num>
  <w:num w:numId="6">
    <w:abstractNumId w:val="24"/>
  </w:num>
  <w:num w:numId="7">
    <w:abstractNumId w:val="28"/>
  </w:num>
  <w:num w:numId="8">
    <w:abstractNumId w:val="17"/>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2"/>
  </w:num>
  <w:num w:numId="17">
    <w:abstractNumId w:val="12"/>
  </w:num>
  <w:num w:numId="18">
    <w:abstractNumId w:val="14"/>
  </w:num>
  <w:num w:numId="19">
    <w:abstractNumId w:val="7"/>
  </w:num>
  <w:num w:numId="20">
    <w:abstractNumId w:val="41"/>
  </w:num>
  <w:num w:numId="21">
    <w:abstractNumId w:val="18"/>
  </w:num>
  <w:num w:numId="22">
    <w:abstractNumId w:val="37"/>
  </w:num>
  <w:num w:numId="23">
    <w:abstractNumId w:val="13"/>
  </w:num>
  <w:num w:numId="24">
    <w:abstractNumId w:val="10"/>
  </w:num>
  <w:num w:numId="25">
    <w:abstractNumId w:val="36"/>
  </w:num>
  <w:num w:numId="26">
    <w:abstractNumId w:val="6"/>
  </w:num>
  <w:num w:numId="27">
    <w:abstractNumId w:val="42"/>
  </w:num>
  <w:num w:numId="28">
    <w:abstractNumId w:val="9"/>
  </w:num>
  <w:num w:numId="29">
    <w:abstractNumId w:val="8"/>
  </w:num>
  <w:num w:numId="30">
    <w:abstractNumId w:val="39"/>
  </w:num>
  <w:num w:numId="31">
    <w:abstractNumId w:val="11"/>
  </w:num>
  <w:num w:numId="32">
    <w:abstractNumId w:val="34"/>
  </w:num>
  <w:num w:numId="33">
    <w:abstractNumId w:val="40"/>
  </w:num>
  <w:num w:numId="34">
    <w:abstractNumId w:val="33"/>
  </w:num>
  <w:num w:numId="35">
    <w:abstractNumId w:val="31"/>
  </w:num>
  <w:num w:numId="36">
    <w:abstractNumId w:val="30"/>
  </w:num>
  <w:num w:numId="37">
    <w:abstractNumId w:val="5"/>
  </w:num>
  <w:num w:numId="38">
    <w:abstractNumId w:val="35"/>
  </w:num>
  <w:num w:numId="39">
    <w:abstractNumId w:val="21"/>
  </w:num>
  <w:num w:numId="40">
    <w:abstractNumId w:val="29"/>
  </w:num>
  <w:num w:numId="41">
    <w:abstractNumId w:val="4"/>
  </w:num>
  <w:num w:numId="42">
    <w:abstractNumId w:val="38"/>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F5D"/>
    <w:rsid w:val="000000E7"/>
    <w:rsid w:val="000006E1"/>
    <w:rsid w:val="00002A37"/>
    <w:rsid w:val="0000564C"/>
    <w:rsid w:val="00006446"/>
    <w:rsid w:val="00006896"/>
    <w:rsid w:val="00007CDC"/>
    <w:rsid w:val="00011B28"/>
    <w:rsid w:val="00015D15"/>
    <w:rsid w:val="0002564D"/>
    <w:rsid w:val="00025ECA"/>
    <w:rsid w:val="000325B8"/>
    <w:rsid w:val="00033DF3"/>
    <w:rsid w:val="00034C15"/>
    <w:rsid w:val="00036BA1"/>
    <w:rsid w:val="00041640"/>
    <w:rsid w:val="000422E2"/>
    <w:rsid w:val="00042F22"/>
    <w:rsid w:val="000444EF"/>
    <w:rsid w:val="00045984"/>
    <w:rsid w:val="00052583"/>
    <w:rsid w:val="00052A07"/>
    <w:rsid w:val="000534E3"/>
    <w:rsid w:val="0005606A"/>
    <w:rsid w:val="00057117"/>
    <w:rsid w:val="000616E7"/>
    <w:rsid w:val="0006303A"/>
    <w:rsid w:val="0006487E"/>
    <w:rsid w:val="00065E1A"/>
    <w:rsid w:val="00067DC3"/>
    <w:rsid w:val="00077E5F"/>
    <w:rsid w:val="0008036A"/>
    <w:rsid w:val="00081752"/>
    <w:rsid w:val="00081AE6"/>
    <w:rsid w:val="000855EB"/>
    <w:rsid w:val="00085B52"/>
    <w:rsid w:val="000866F2"/>
    <w:rsid w:val="0009009F"/>
    <w:rsid w:val="000905FF"/>
    <w:rsid w:val="00091557"/>
    <w:rsid w:val="000924C1"/>
    <w:rsid w:val="000924F0"/>
    <w:rsid w:val="00093474"/>
    <w:rsid w:val="0009510F"/>
    <w:rsid w:val="000A1B7B"/>
    <w:rsid w:val="000A31E4"/>
    <w:rsid w:val="000A56F2"/>
    <w:rsid w:val="000A5FA4"/>
    <w:rsid w:val="000B2719"/>
    <w:rsid w:val="000B3A8F"/>
    <w:rsid w:val="000B4AB9"/>
    <w:rsid w:val="000B58C3"/>
    <w:rsid w:val="000B61E9"/>
    <w:rsid w:val="000C165A"/>
    <w:rsid w:val="000C2C1F"/>
    <w:rsid w:val="000C2E19"/>
    <w:rsid w:val="000D0D07"/>
    <w:rsid w:val="000D4797"/>
    <w:rsid w:val="000D6427"/>
    <w:rsid w:val="000E0527"/>
    <w:rsid w:val="000E1316"/>
    <w:rsid w:val="000E1E92"/>
    <w:rsid w:val="000E2862"/>
    <w:rsid w:val="000F06D6"/>
    <w:rsid w:val="000F0EB1"/>
    <w:rsid w:val="000F1106"/>
    <w:rsid w:val="000F3BE9"/>
    <w:rsid w:val="000F3F6C"/>
    <w:rsid w:val="000F6DF3"/>
    <w:rsid w:val="000F7587"/>
    <w:rsid w:val="001005FF"/>
    <w:rsid w:val="00104470"/>
    <w:rsid w:val="001062FB"/>
    <w:rsid w:val="001063E6"/>
    <w:rsid w:val="00112432"/>
    <w:rsid w:val="00113CF4"/>
    <w:rsid w:val="001153EA"/>
    <w:rsid w:val="00115643"/>
    <w:rsid w:val="00116765"/>
    <w:rsid w:val="001219F5"/>
    <w:rsid w:val="00121A20"/>
    <w:rsid w:val="0012377F"/>
    <w:rsid w:val="00124314"/>
    <w:rsid w:val="00124BDB"/>
    <w:rsid w:val="00125BEA"/>
    <w:rsid w:val="00126B4A"/>
    <w:rsid w:val="001319C6"/>
    <w:rsid w:val="00132FD0"/>
    <w:rsid w:val="001339A3"/>
    <w:rsid w:val="001344C0"/>
    <w:rsid w:val="001346FA"/>
    <w:rsid w:val="00135252"/>
    <w:rsid w:val="00137AB5"/>
    <w:rsid w:val="00137F0B"/>
    <w:rsid w:val="00147F5D"/>
    <w:rsid w:val="00151E23"/>
    <w:rsid w:val="001526E0"/>
    <w:rsid w:val="001537E4"/>
    <w:rsid w:val="001551B5"/>
    <w:rsid w:val="001659C1"/>
    <w:rsid w:val="00167C23"/>
    <w:rsid w:val="00170E9B"/>
    <w:rsid w:val="00173A8E"/>
    <w:rsid w:val="00174433"/>
    <w:rsid w:val="0017502C"/>
    <w:rsid w:val="00175195"/>
    <w:rsid w:val="001768CF"/>
    <w:rsid w:val="0018143F"/>
    <w:rsid w:val="00181FF8"/>
    <w:rsid w:val="00190AC1"/>
    <w:rsid w:val="0019341A"/>
    <w:rsid w:val="00197DF9"/>
    <w:rsid w:val="001A1987"/>
    <w:rsid w:val="001A2564"/>
    <w:rsid w:val="001A6173"/>
    <w:rsid w:val="001A6CBA"/>
    <w:rsid w:val="001B0D97"/>
    <w:rsid w:val="001B11F5"/>
    <w:rsid w:val="001B5463"/>
    <w:rsid w:val="001B5A5D"/>
    <w:rsid w:val="001B5B77"/>
    <w:rsid w:val="001C1CE5"/>
    <w:rsid w:val="001C3D2A"/>
    <w:rsid w:val="001D51BA"/>
    <w:rsid w:val="001D53E7"/>
    <w:rsid w:val="001D6342"/>
    <w:rsid w:val="001D6D53"/>
    <w:rsid w:val="001E31D8"/>
    <w:rsid w:val="001E58E2"/>
    <w:rsid w:val="001E7AED"/>
    <w:rsid w:val="001F3916"/>
    <w:rsid w:val="001F4ED2"/>
    <w:rsid w:val="001F54C5"/>
    <w:rsid w:val="001F662C"/>
    <w:rsid w:val="001F7074"/>
    <w:rsid w:val="00200490"/>
    <w:rsid w:val="00201F3A"/>
    <w:rsid w:val="00203F96"/>
    <w:rsid w:val="002067ED"/>
    <w:rsid w:val="0020697A"/>
    <w:rsid w:val="002069B2"/>
    <w:rsid w:val="0020781C"/>
    <w:rsid w:val="00207B98"/>
    <w:rsid w:val="00207FA3"/>
    <w:rsid w:val="00213FC4"/>
    <w:rsid w:val="00214DA8"/>
    <w:rsid w:val="00215423"/>
    <w:rsid w:val="002158FA"/>
    <w:rsid w:val="00220600"/>
    <w:rsid w:val="002224DB"/>
    <w:rsid w:val="00223FCB"/>
    <w:rsid w:val="00224960"/>
    <w:rsid w:val="002252C3"/>
    <w:rsid w:val="00225C54"/>
    <w:rsid w:val="00230765"/>
    <w:rsid w:val="00230D18"/>
    <w:rsid w:val="002319E4"/>
    <w:rsid w:val="00235632"/>
    <w:rsid w:val="00235872"/>
    <w:rsid w:val="00241388"/>
    <w:rsid w:val="00241559"/>
    <w:rsid w:val="002435B3"/>
    <w:rsid w:val="002458EB"/>
    <w:rsid w:val="002500C8"/>
    <w:rsid w:val="00257543"/>
    <w:rsid w:val="002617E7"/>
    <w:rsid w:val="00264228"/>
    <w:rsid w:val="00264334"/>
    <w:rsid w:val="0026473E"/>
    <w:rsid w:val="00266214"/>
    <w:rsid w:val="002664F1"/>
    <w:rsid w:val="00267C83"/>
    <w:rsid w:val="0027144F"/>
    <w:rsid w:val="00271813"/>
    <w:rsid w:val="00271F3A"/>
    <w:rsid w:val="002731C7"/>
    <w:rsid w:val="00273278"/>
    <w:rsid w:val="002737F4"/>
    <w:rsid w:val="00274658"/>
    <w:rsid w:val="002805F5"/>
    <w:rsid w:val="00280751"/>
    <w:rsid w:val="00280DE9"/>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7A4"/>
    <w:rsid w:val="002F1330"/>
    <w:rsid w:val="002F2771"/>
    <w:rsid w:val="002F37A9"/>
    <w:rsid w:val="00301CE6"/>
    <w:rsid w:val="0030256B"/>
    <w:rsid w:val="0030501F"/>
    <w:rsid w:val="00305B65"/>
    <w:rsid w:val="00307BA1"/>
    <w:rsid w:val="00311702"/>
    <w:rsid w:val="00311E82"/>
    <w:rsid w:val="00312A4E"/>
    <w:rsid w:val="00313FD6"/>
    <w:rsid w:val="003143BD"/>
    <w:rsid w:val="00315363"/>
    <w:rsid w:val="003203ED"/>
    <w:rsid w:val="00322C9F"/>
    <w:rsid w:val="00324D23"/>
    <w:rsid w:val="00331751"/>
    <w:rsid w:val="00332619"/>
    <w:rsid w:val="00332BD8"/>
    <w:rsid w:val="00334579"/>
    <w:rsid w:val="00335858"/>
    <w:rsid w:val="00336BDA"/>
    <w:rsid w:val="00342BD7"/>
    <w:rsid w:val="00346DB5"/>
    <w:rsid w:val="003477B1"/>
    <w:rsid w:val="00357380"/>
    <w:rsid w:val="003602D9"/>
    <w:rsid w:val="0036031F"/>
    <w:rsid w:val="003604CE"/>
    <w:rsid w:val="00370E47"/>
    <w:rsid w:val="00371EC7"/>
    <w:rsid w:val="003726CD"/>
    <w:rsid w:val="003742AC"/>
    <w:rsid w:val="003767A4"/>
    <w:rsid w:val="00377CE1"/>
    <w:rsid w:val="0038103C"/>
    <w:rsid w:val="00384AC2"/>
    <w:rsid w:val="00385BF0"/>
    <w:rsid w:val="00392493"/>
    <w:rsid w:val="003939FF"/>
    <w:rsid w:val="00394DB0"/>
    <w:rsid w:val="003A2223"/>
    <w:rsid w:val="003A2A0F"/>
    <w:rsid w:val="003A45A1"/>
    <w:rsid w:val="003A5B0A"/>
    <w:rsid w:val="003A6BAC"/>
    <w:rsid w:val="003A70A4"/>
    <w:rsid w:val="003A7EF3"/>
    <w:rsid w:val="003B159C"/>
    <w:rsid w:val="003B369F"/>
    <w:rsid w:val="003B36A3"/>
    <w:rsid w:val="003B5187"/>
    <w:rsid w:val="003B523F"/>
    <w:rsid w:val="003B64BB"/>
    <w:rsid w:val="003B76F4"/>
    <w:rsid w:val="003B7FE5"/>
    <w:rsid w:val="003C11C8"/>
    <w:rsid w:val="003C236D"/>
    <w:rsid w:val="003C2702"/>
    <w:rsid w:val="003C7806"/>
    <w:rsid w:val="003D109F"/>
    <w:rsid w:val="003D2478"/>
    <w:rsid w:val="003D3C45"/>
    <w:rsid w:val="003D5B1F"/>
    <w:rsid w:val="003E15FA"/>
    <w:rsid w:val="003E2F5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355"/>
    <w:rsid w:val="00421105"/>
    <w:rsid w:val="0042125A"/>
    <w:rsid w:val="00422AA4"/>
    <w:rsid w:val="004242F4"/>
    <w:rsid w:val="00425690"/>
    <w:rsid w:val="00427248"/>
    <w:rsid w:val="004325DD"/>
    <w:rsid w:val="00435305"/>
    <w:rsid w:val="00436BEA"/>
    <w:rsid w:val="00437447"/>
    <w:rsid w:val="00441A92"/>
    <w:rsid w:val="004431DC"/>
    <w:rsid w:val="00444F56"/>
    <w:rsid w:val="00446488"/>
    <w:rsid w:val="00450F85"/>
    <w:rsid w:val="004517AA"/>
    <w:rsid w:val="00452CAC"/>
    <w:rsid w:val="00457565"/>
    <w:rsid w:val="00457B71"/>
    <w:rsid w:val="00460636"/>
    <w:rsid w:val="004669E2"/>
    <w:rsid w:val="00470C31"/>
    <w:rsid w:val="00471DE0"/>
    <w:rsid w:val="0047228B"/>
    <w:rsid w:val="004734D0"/>
    <w:rsid w:val="00474494"/>
    <w:rsid w:val="0047556B"/>
    <w:rsid w:val="00475886"/>
    <w:rsid w:val="00477768"/>
    <w:rsid w:val="0048278C"/>
    <w:rsid w:val="00484C8C"/>
    <w:rsid w:val="00485A91"/>
    <w:rsid w:val="00492BC5"/>
    <w:rsid w:val="004964F1"/>
    <w:rsid w:val="004A16BC"/>
    <w:rsid w:val="004A2B94"/>
    <w:rsid w:val="004A2BFD"/>
    <w:rsid w:val="004A459C"/>
    <w:rsid w:val="004A573E"/>
    <w:rsid w:val="004A795C"/>
    <w:rsid w:val="004B0A5B"/>
    <w:rsid w:val="004B5651"/>
    <w:rsid w:val="004B6F6A"/>
    <w:rsid w:val="004B7C0C"/>
    <w:rsid w:val="004C3898"/>
    <w:rsid w:val="004C73CB"/>
    <w:rsid w:val="004D36B1"/>
    <w:rsid w:val="004D7EBD"/>
    <w:rsid w:val="004E1D13"/>
    <w:rsid w:val="004E2680"/>
    <w:rsid w:val="004E28F9"/>
    <w:rsid w:val="004E462E"/>
    <w:rsid w:val="004E56DC"/>
    <w:rsid w:val="004E76F4"/>
    <w:rsid w:val="004F0B4E"/>
    <w:rsid w:val="004F0B6C"/>
    <w:rsid w:val="004F2078"/>
    <w:rsid w:val="004F4DA3"/>
    <w:rsid w:val="00506557"/>
    <w:rsid w:val="0050677A"/>
    <w:rsid w:val="005108D8"/>
    <w:rsid w:val="0051113A"/>
    <w:rsid w:val="005116F9"/>
    <w:rsid w:val="005153A7"/>
    <w:rsid w:val="0051560F"/>
    <w:rsid w:val="00515C99"/>
    <w:rsid w:val="00517420"/>
    <w:rsid w:val="005219CF"/>
    <w:rsid w:val="00534B59"/>
    <w:rsid w:val="00536759"/>
    <w:rsid w:val="00537C62"/>
    <w:rsid w:val="0054208D"/>
    <w:rsid w:val="00546970"/>
    <w:rsid w:val="00551E0E"/>
    <w:rsid w:val="005541DC"/>
    <w:rsid w:val="00554E19"/>
    <w:rsid w:val="00560E5D"/>
    <w:rsid w:val="0056121F"/>
    <w:rsid w:val="00566B65"/>
    <w:rsid w:val="00570D05"/>
    <w:rsid w:val="005723CF"/>
    <w:rsid w:val="00572505"/>
    <w:rsid w:val="00576D56"/>
    <w:rsid w:val="00582809"/>
    <w:rsid w:val="0058798C"/>
    <w:rsid w:val="005900FA"/>
    <w:rsid w:val="0059128F"/>
    <w:rsid w:val="00591CC1"/>
    <w:rsid w:val="005935A4"/>
    <w:rsid w:val="005948C2"/>
    <w:rsid w:val="00595DCA"/>
    <w:rsid w:val="0059779B"/>
    <w:rsid w:val="005A10A6"/>
    <w:rsid w:val="005A209A"/>
    <w:rsid w:val="005A622B"/>
    <w:rsid w:val="005A662D"/>
    <w:rsid w:val="005B1409"/>
    <w:rsid w:val="005B1F7B"/>
    <w:rsid w:val="005B35D7"/>
    <w:rsid w:val="005B392A"/>
    <w:rsid w:val="005B3AA3"/>
    <w:rsid w:val="005B6F83"/>
    <w:rsid w:val="005B70C9"/>
    <w:rsid w:val="005C0AA2"/>
    <w:rsid w:val="005C2E5C"/>
    <w:rsid w:val="005C74FB"/>
    <w:rsid w:val="005D1602"/>
    <w:rsid w:val="005D226E"/>
    <w:rsid w:val="005D64ED"/>
    <w:rsid w:val="005E1D3B"/>
    <w:rsid w:val="005E385F"/>
    <w:rsid w:val="005E5B81"/>
    <w:rsid w:val="005E67F8"/>
    <w:rsid w:val="005F2CB1"/>
    <w:rsid w:val="005F3025"/>
    <w:rsid w:val="005F51DB"/>
    <w:rsid w:val="005F618C"/>
    <w:rsid w:val="005F70BD"/>
    <w:rsid w:val="00600DD3"/>
    <w:rsid w:val="0060283C"/>
    <w:rsid w:val="00604F14"/>
    <w:rsid w:val="00605A0E"/>
    <w:rsid w:val="006074BC"/>
    <w:rsid w:val="006110BB"/>
    <w:rsid w:val="00611B83"/>
    <w:rsid w:val="00613257"/>
    <w:rsid w:val="00620A71"/>
    <w:rsid w:val="00620D80"/>
    <w:rsid w:val="00621C2C"/>
    <w:rsid w:val="006234A6"/>
    <w:rsid w:val="00623698"/>
    <w:rsid w:val="00625E94"/>
    <w:rsid w:val="00630001"/>
    <w:rsid w:val="00630FC3"/>
    <w:rsid w:val="006311B3"/>
    <w:rsid w:val="0063284C"/>
    <w:rsid w:val="00634397"/>
    <w:rsid w:val="00636398"/>
    <w:rsid w:val="006368D3"/>
    <w:rsid w:val="006377EC"/>
    <w:rsid w:val="00637B8C"/>
    <w:rsid w:val="00637E18"/>
    <w:rsid w:val="0064151F"/>
    <w:rsid w:val="00641533"/>
    <w:rsid w:val="00641E4E"/>
    <w:rsid w:val="0064208D"/>
    <w:rsid w:val="0064237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91E"/>
    <w:rsid w:val="00680D42"/>
    <w:rsid w:val="00681003"/>
    <w:rsid w:val="006817C9"/>
    <w:rsid w:val="00683ECE"/>
    <w:rsid w:val="0068647C"/>
    <w:rsid w:val="00695FC2"/>
    <w:rsid w:val="00696949"/>
    <w:rsid w:val="00697052"/>
    <w:rsid w:val="006A01A2"/>
    <w:rsid w:val="006A1E42"/>
    <w:rsid w:val="006A46FB"/>
    <w:rsid w:val="006A5E28"/>
    <w:rsid w:val="006A697B"/>
    <w:rsid w:val="006A7AFF"/>
    <w:rsid w:val="006B1816"/>
    <w:rsid w:val="006B2099"/>
    <w:rsid w:val="006B50CF"/>
    <w:rsid w:val="006C03B8"/>
    <w:rsid w:val="006C5EC9"/>
    <w:rsid w:val="006C6059"/>
    <w:rsid w:val="006C7522"/>
    <w:rsid w:val="006D2E31"/>
    <w:rsid w:val="006D34B3"/>
    <w:rsid w:val="006D6F08"/>
    <w:rsid w:val="006E062C"/>
    <w:rsid w:val="006E1C82"/>
    <w:rsid w:val="006E24F3"/>
    <w:rsid w:val="006E28B7"/>
    <w:rsid w:val="006E2A9B"/>
    <w:rsid w:val="006E3310"/>
    <w:rsid w:val="006E4E39"/>
    <w:rsid w:val="006E565E"/>
    <w:rsid w:val="006E673D"/>
    <w:rsid w:val="006E78DD"/>
    <w:rsid w:val="006E7D3B"/>
    <w:rsid w:val="006F0DD8"/>
    <w:rsid w:val="006F1B70"/>
    <w:rsid w:val="006F341D"/>
    <w:rsid w:val="006F3CDE"/>
    <w:rsid w:val="006F58D4"/>
    <w:rsid w:val="006F6582"/>
    <w:rsid w:val="006F7FBD"/>
    <w:rsid w:val="0070346E"/>
    <w:rsid w:val="0070384E"/>
    <w:rsid w:val="00704EDB"/>
    <w:rsid w:val="00704FD0"/>
    <w:rsid w:val="00705840"/>
    <w:rsid w:val="00705F01"/>
    <w:rsid w:val="00706101"/>
    <w:rsid w:val="00707072"/>
    <w:rsid w:val="00707D61"/>
    <w:rsid w:val="00712287"/>
    <w:rsid w:val="00712772"/>
    <w:rsid w:val="007144A3"/>
    <w:rsid w:val="007148D3"/>
    <w:rsid w:val="00715B9A"/>
    <w:rsid w:val="00717C09"/>
    <w:rsid w:val="0072327E"/>
    <w:rsid w:val="007257D0"/>
    <w:rsid w:val="00726056"/>
    <w:rsid w:val="00726EA6"/>
    <w:rsid w:val="00727208"/>
    <w:rsid w:val="00727680"/>
    <w:rsid w:val="007348B1"/>
    <w:rsid w:val="007362A6"/>
    <w:rsid w:val="00736D7D"/>
    <w:rsid w:val="0074073C"/>
    <w:rsid w:val="00740E58"/>
    <w:rsid w:val="00742B0A"/>
    <w:rsid w:val="007445A0"/>
    <w:rsid w:val="0074524B"/>
    <w:rsid w:val="00747D8B"/>
    <w:rsid w:val="00751228"/>
    <w:rsid w:val="007571E1"/>
    <w:rsid w:val="007604B2"/>
    <w:rsid w:val="00763A48"/>
    <w:rsid w:val="00763A60"/>
    <w:rsid w:val="00765281"/>
    <w:rsid w:val="00766BAD"/>
    <w:rsid w:val="00767A1C"/>
    <w:rsid w:val="007729A2"/>
    <w:rsid w:val="00774AA9"/>
    <w:rsid w:val="007755F2"/>
    <w:rsid w:val="00776971"/>
    <w:rsid w:val="00780A80"/>
    <w:rsid w:val="0078177E"/>
    <w:rsid w:val="0078304C"/>
    <w:rsid w:val="00783673"/>
    <w:rsid w:val="00785490"/>
    <w:rsid w:val="007925EA"/>
    <w:rsid w:val="00793CD8"/>
    <w:rsid w:val="007943DC"/>
    <w:rsid w:val="00795C92"/>
    <w:rsid w:val="00796231"/>
    <w:rsid w:val="007A1CB3"/>
    <w:rsid w:val="007A306F"/>
    <w:rsid w:val="007A43A6"/>
    <w:rsid w:val="007A459A"/>
    <w:rsid w:val="007A58A6"/>
    <w:rsid w:val="007A7CA5"/>
    <w:rsid w:val="007B2E27"/>
    <w:rsid w:val="007B3D2D"/>
    <w:rsid w:val="007B50AE"/>
    <w:rsid w:val="007B51DF"/>
    <w:rsid w:val="007C05DD"/>
    <w:rsid w:val="007C206B"/>
    <w:rsid w:val="007C3D18"/>
    <w:rsid w:val="007C46A6"/>
    <w:rsid w:val="007C60BF"/>
    <w:rsid w:val="007C6A07"/>
    <w:rsid w:val="007C75A1"/>
    <w:rsid w:val="007C77A5"/>
    <w:rsid w:val="007D04E5"/>
    <w:rsid w:val="007D5901"/>
    <w:rsid w:val="007D7526"/>
    <w:rsid w:val="007E4610"/>
    <w:rsid w:val="007E4715"/>
    <w:rsid w:val="007E505B"/>
    <w:rsid w:val="007E50D7"/>
    <w:rsid w:val="007E5B25"/>
    <w:rsid w:val="007E7091"/>
    <w:rsid w:val="008016E3"/>
    <w:rsid w:val="00803FAE"/>
    <w:rsid w:val="008043A6"/>
    <w:rsid w:val="0080605F"/>
    <w:rsid w:val="00807786"/>
    <w:rsid w:val="00811FCB"/>
    <w:rsid w:val="008158D6"/>
    <w:rsid w:val="00817196"/>
    <w:rsid w:val="008215A3"/>
    <w:rsid w:val="008235DB"/>
    <w:rsid w:val="00824AB4"/>
    <w:rsid w:val="00824F55"/>
    <w:rsid w:val="00825C42"/>
    <w:rsid w:val="00825D25"/>
    <w:rsid w:val="00827D6F"/>
    <w:rsid w:val="00832AB6"/>
    <w:rsid w:val="008376AC"/>
    <w:rsid w:val="00843837"/>
    <w:rsid w:val="00843A48"/>
    <w:rsid w:val="008444E8"/>
    <w:rsid w:val="008448BA"/>
    <w:rsid w:val="00844E80"/>
    <w:rsid w:val="00846FE7"/>
    <w:rsid w:val="00856911"/>
    <w:rsid w:val="008669AB"/>
    <w:rsid w:val="008677A9"/>
    <w:rsid w:val="008677FD"/>
    <w:rsid w:val="008706D4"/>
    <w:rsid w:val="00870F8A"/>
    <w:rsid w:val="008719A4"/>
    <w:rsid w:val="00871D23"/>
    <w:rsid w:val="008733F7"/>
    <w:rsid w:val="00874312"/>
    <w:rsid w:val="0087437C"/>
    <w:rsid w:val="00875714"/>
    <w:rsid w:val="00875CD7"/>
    <w:rsid w:val="00876B4D"/>
    <w:rsid w:val="00877F18"/>
    <w:rsid w:val="00880363"/>
    <w:rsid w:val="008941E3"/>
    <w:rsid w:val="00894A88"/>
    <w:rsid w:val="00895386"/>
    <w:rsid w:val="008A21FF"/>
    <w:rsid w:val="008A28F7"/>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9E7"/>
    <w:rsid w:val="008D34F1"/>
    <w:rsid w:val="008D39D8"/>
    <w:rsid w:val="008D6D1A"/>
    <w:rsid w:val="008E065E"/>
    <w:rsid w:val="008E0927"/>
    <w:rsid w:val="008E1909"/>
    <w:rsid w:val="008E72BE"/>
    <w:rsid w:val="008F0B35"/>
    <w:rsid w:val="008F1C4E"/>
    <w:rsid w:val="008F1EAB"/>
    <w:rsid w:val="008F33DC"/>
    <w:rsid w:val="008F477F"/>
    <w:rsid w:val="0090075D"/>
    <w:rsid w:val="00902350"/>
    <w:rsid w:val="0090336B"/>
    <w:rsid w:val="009053AA"/>
    <w:rsid w:val="00906939"/>
    <w:rsid w:val="00910B7D"/>
    <w:rsid w:val="00911551"/>
    <w:rsid w:val="00911DFB"/>
    <w:rsid w:val="009127E5"/>
    <w:rsid w:val="009139D9"/>
    <w:rsid w:val="00914425"/>
    <w:rsid w:val="00914AD8"/>
    <w:rsid w:val="00916079"/>
    <w:rsid w:val="00917CE9"/>
    <w:rsid w:val="00920BF2"/>
    <w:rsid w:val="00922010"/>
    <w:rsid w:val="00931BD9"/>
    <w:rsid w:val="00934A0F"/>
    <w:rsid w:val="009368F3"/>
    <w:rsid w:val="00941636"/>
    <w:rsid w:val="00943742"/>
    <w:rsid w:val="00945C05"/>
    <w:rsid w:val="00946945"/>
    <w:rsid w:val="00947713"/>
    <w:rsid w:val="00947D3E"/>
    <w:rsid w:val="00950DE7"/>
    <w:rsid w:val="00953920"/>
    <w:rsid w:val="00953D47"/>
    <w:rsid w:val="0095681E"/>
    <w:rsid w:val="009572D4"/>
    <w:rsid w:val="00961921"/>
    <w:rsid w:val="00961DE3"/>
    <w:rsid w:val="0096430A"/>
    <w:rsid w:val="0096554B"/>
    <w:rsid w:val="0096584A"/>
    <w:rsid w:val="00971649"/>
    <w:rsid w:val="00971F08"/>
    <w:rsid w:val="009725EF"/>
    <w:rsid w:val="0097603D"/>
    <w:rsid w:val="00976949"/>
    <w:rsid w:val="00976A34"/>
    <w:rsid w:val="00980477"/>
    <w:rsid w:val="00985253"/>
    <w:rsid w:val="009853B3"/>
    <w:rsid w:val="00990630"/>
    <w:rsid w:val="00991761"/>
    <w:rsid w:val="009924B4"/>
    <w:rsid w:val="00994DCA"/>
    <w:rsid w:val="009960EC"/>
    <w:rsid w:val="009970DD"/>
    <w:rsid w:val="009A0FBA"/>
    <w:rsid w:val="009A1601"/>
    <w:rsid w:val="009A3BB6"/>
    <w:rsid w:val="009A462D"/>
    <w:rsid w:val="009A4AF6"/>
    <w:rsid w:val="009A4E98"/>
    <w:rsid w:val="009A5CBA"/>
    <w:rsid w:val="009B1F30"/>
    <w:rsid w:val="009B23E8"/>
    <w:rsid w:val="009B3AC2"/>
    <w:rsid w:val="009B3E52"/>
    <w:rsid w:val="009B4DF4"/>
    <w:rsid w:val="009B564E"/>
    <w:rsid w:val="009B5FA7"/>
    <w:rsid w:val="009B73E3"/>
    <w:rsid w:val="009B7E87"/>
    <w:rsid w:val="009C0169"/>
    <w:rsid w:val="009C403E"/>
    <w:rsid w:val="009D483E"/>
    <w:rsid w:val="009D4A58"/>
    <w:rsid w:val="009D4FF0"/>
    <w:rsid w:val="009D703C"/>
    <w:rsid w:val="009D718F"/>
    <w:rsid w:val="009E068F"/>
    <w:rsid w:val="009E14E0"/>
    <w:rsid w:val="009E35DB"/>
    <w:rsid w:val="009E3E2B"/>
    <w:rsid w:val="009E47A3"/>
    <w:rsid w:val="009E7214"/>
    <w:rsid w:val="009F08F3"/>
    <w:rsid w:val="009F20CC"/>
    <w:rsid w:val="009F2946"/>
    <w:rsid w:val="009F344F"/>
    <w:rsid w:val="00A031D8"/>
    <w:rsid w:val="00A03585"/>
    <w:rsid w:val="00A048A8"/>
    <w:rsid w:val="00A04F49"/>
    <w:rsid w:val="00A106E9"/>
    <w:rsid w:val="00A13E54"/>
    <w:rsid w:val="00A17F63"/>
    <w:rsid w:val="00A2193B"/>
    <w:rsid w:val="00A2351A"/>
    <w:rsid w:val="00A23755"/>
    <w:rsid w:val="00A264A9"/>
    <w:rsid w:val="00A26DCF"/>
    <w:rsid w:val="00A27785"/>
    <w:rsid w:val="00A27E09"/>
    <w:rsid w:val="00A30187"/>
    <w:rsid w:val="00A33C02"/>
    <w:rsid w:val="00A3448A"/>
    <w:rsid w:val="00A36297"/>
    <w:rsid w:val="00A41E2B"/>
    <w:rsid w:val="00A45B74"/>
    <w:rsid w:val="00A47C1A"/>
    <w:rsid w:val="00A52E1D"/>
    <w:rsid w:val="00A548D9"/>
    <w:rsid w:val="00A57F16"/>
    <w:rsid w:val="00A61499"/>
    <w:rsid w:val="00A62A77"/>
    <w:rsid w:val="00A63215"/>
    <w:rsid w:val="00A63483"/>
    <w:rsid w:val="00A657D7"/>
    <w:rsid w:val="00A660AC"/>
    <w:rsid w:val="00A679B8"/>
    <w:rsid w:val="00A67E6C"/>
    <w:rsid w:val="00A71B99"/>
    <w:rsid w:val="00A739D0"/>
    <w:rsid w:val="00A761D4"/>
    <w:rsid w:val="00A77EC4"/>
    <w:rsid w:val="00A92879"/>
    <w:rsid w:val="00A92B85"/>
    <w:rsid w:val="00A9442A"/>
    <w:rsid w:val="00AA016F"/>
    <w:rsid w:val="00AA1ED6"/>
    <w:rsid w:val="00AA39F7"/>
    <w:rsid w:val="00AA51D6"/>
    <w:rsid w:val="00AB0BC8"/>
    <w:rsid w:val="00AB11CA"/>
    <w:rsid w:val="00AB12D6"/>
    <w:rsid w:val="00AB14D9"/>
    <w:rsid w:val="00AB4AB8"/>
    <w:rsid w:val="00AB655E"/>
    <w:rsid w:val="00AC007F"/>
    <w:rsid w:val="00AC1CDF"/>
    <w:rsid w:val="00AC2ECD"/>
    <w:rsid w:val="00AC3119"/>
    <w:rsid w:val="00AC49FB"/>
    <w:rsid w:val="00AC5A10"/>
    <w:rsid w:val="00AD0AA3"/>
    <w:rsid w:val="00AD2ED0"/>
    <w:rsid w:val="00AD3F94"/>
    <w:rsid w:val="00AD4A5A"/>
    <w:rsid w:val="00AE1253"/>
    <w:rsid w:val="00AE2492"/>
    <w:rsid w:val="00AE27AC"/>
    <w:rsid w:val="00AE40E0"/>
    <w:rsid w:val="00AE4DBA"/>
    <w:rsid w:val="00AE4F07"/>
    <w:rsid w:val="00AE6120"/>
    <w:rsid w:val="00AF1C5D"/>
    <w:rsid w:val="00AF1DEC"/>
    <w:rsid w:val="00AF42D7"/>
    <w:rsid w:val="00B006FE"/>
    <w:rsid w:val="00B007CB"/>
    <w:rsid w:val="00B02AA9"/>
    <w:rsid w:val="00B02FA3"/>
    <w:rsid w:val="00B04D5A"/>
    <w:rsid w:val="00B05084"/>
    <w:rsid w:val="00B157F9"/>
    <w:rsid w:val="00B163AA"/>
    <w:rsid w:val="00B20256"/>
    <w:rsid w:val="00B20D09"/>
    <w:rsid w:val="00B2763F"/>
    <w:rsid w:val="00B27AAC"/>
    <w:rsid w:val="00B30929"/>
    <w:rsid w:val="00B372AA"/>
    <w:rsid w:val="00B40445"/>
    <w:rsid w:val="00B409E0"/>
    <w:rsid w:val="00B40E56"/>
    <w:rsid w:val="00B41888"/>
    <w:rsid w:val="00B45A52"/>
    <w:rsid w:val="00B46175"/>
    <w:rsid w:val="00B52799"/>
    <w:rsid w:val="00B546AA"/>
    <w:rsid w:val="00B548B7"/>
    <w:rsid w:val="00B664C7"/>
    <w:rsid w:val="00B739F6"/>
    <w:rsid w:val="00B81A6C"/>
    <w:rsid w:val="00B85DE5"/>
    <w:rsid w:val="00B90F73"/>
    <w:rsid w:val="00B924F8"/>
    <w:rsid w:val="00B93B59"/>
    <w:rsid w:val="00B9406A"/>
    <w:rsid w:val="00BA2280"/>
    <w:rsid w:val="00BA2A08"/>
    <w:rsid w:val="00BA56D2"/>
    <w:rsid w:val="00BA76E0"/>
    <w:rsid w:val="00BB0B8A"/>
    <w:rsid w:val="00BB2147"/>
    <w:rsid w:val="00BB2A25"/>
    <w:rsid w:val="00BB51E9"/>
    <w:rsid w:val="00BC0FDC"/>
    <w:rsid w:val="00BC3053"/>
    <w:rsid w:val="00BC4D2E"/>
    <w:rsid w:val="00BD48AC"/>
    <w:rsid w:val="00BD5F1A"/>
    <w:rsid w:val="00BE1234"/>
    <w:rsid w:val="00BE2FA6"/>
    <w:rsid w:val="00BE333F"/>
    <w:rsid w:val="00BE7406"/>
    <w:rsid w:val="00BE7603"/>
    <w:rsid w:val="00BF3279"/>
    <w:rsid w:val="00BF5C54"/>
    <w:rsid w:val="00BF74C7"/>
    <w:rsid w:val="00C012CE"/>
    <w:rsid w:val="00C015F1"/>
    <w:rsid w:val="00C01F33"/>
    <w:rsid w:val="00C02BDC"/>
    <w:rsid w:val="00C02CC6"/>
    <w:rsid w:val="00C040F7"/>
    <w:rsid w:val="00C044AB"/>
    <w:rsid w:val="00C05706"/>
    <w:rsid w:val="00C061C6"/>
    <w:rsid w:val="00C07377"/>
    <w:rsid w:val="00C07C1D"/>
    <w:rsid w:val="00C10478"/>
    <w:rsid w:val="00C12107"/>
    <w:rsid w:val="00C14D4B"/>
    <w:rsid w:val="00C154BB"/>
    <w:rsid w:val="00C279B5"/>
    <w:rsid w:val="00C27C45"/>
    <w:rsid w:val="00C27CC7"/>
    <w:rsid w:val="00C34D2D"/>
    <w:rsid w:val="00C3719D"/>
    <w:rsid w:val="00C37CB2"/>
    <w:rsid w:val="00C42DC9"/>
    <w:rsid w:val="00C473A5"/>
    <w:rsid w:val="00C52B60"/>
    <w:rsid w:val="00C53DA8"/>
    <w:rsid w:val="00C54995"/>
    <w:rsid w:val="00C54D41"/>
    <w:rsid w:val="00C60783"/>
    <w:rsid w:val="00C64672"/>
    <w:rsid w:val="00C70697"/>
    <w:rsid w:val="00C72093"/>
    <w:rsid w:val="00C72EF4"/>
    <w:rsid w:val="00C744FE"/>
    <w:rsid w:val="00C75D2F"/>
    <w:rsid w:val="00C767BE"/>
    <w:rsid w:val="00C76E3C"/>
    <w:rsid w:val="00C77913"/>
    <w:rsid w:val="00C81568"/>
    <w:rsid w:val="00C9027A"/>
    <w:rsid w:val="00C9068E"/>
    <w:rsid w:val="00C93814"/>
    <w:rsid w:val="00C93C4B"/>
    <w:rsid w:val="00C944AB"/>
    <w:rsid w:val="00C95B40"/>
    <w:rsid w:val="00CA18E0"/>
    <w:rsid w:val="00CA1ED8"/>
    <w:rsid w:val="00CA5562"/>
    <w:rsid w:val="00CB1F63"/>
    <w:rsid w:val="00CB4F82"/>
    <w:rsid w:val="00CB650E"/>
    <w:rsid w:val="00CB7170"/>
    <w:rsid w:val="00CC040E"/>
    <w:rsid w:val="00CC111F"/>
    <w:rsid w:val="00CC2011"/>
    <w:rsid w:val="00CC351F"/>
    <w:rsid w:val="00CC3EA0"/>
    <w:rsid w:val="00CC6B20"/>
    <w:rsid w:val="00CC7B45"/>
    <w:rsid w:val="00CD1188"/>
    <w:rsid w:val="00CD2ED1"/>
    <w:rsid w:val="00CD337B"/>
    <w:rsid w:val="00CD3653"/>
    <w:rsid w:val="00CE0424"/>
    <w:rsid w:val="00CE7561"/>
    <w:rsid w:val="00CF1354"/>
    <w:rsid w:val="00CF1CAD"/>
    <w:rsid w:val="00CF302F"/>
    <w:rsid w:val="00CF3B1F"/>
    <w:rsid w:val="00CF3BF6"/>
    <w:rsid w:val="00CF625B"/>
    <w:rsid w:val="00CF687E"/>
    <w:rsid w:val="00D026C7"/>
    <w:rsid w:val="00D0349B"/>
    <w:rsid w:val="00D10249"/>
    <w:rsid w:val="00D115C3"/>
    <w:rsid w:val="00D11897"/>
    <w:rsid w:val="00D13135"/>
    <w:rsid w:val="00D13E4E"/>
    <w:rsid w:val="00D204BB"/>
    <w:rsid w:val="00D239A7"/>
    <w:rsid w:val="00D23F47"/>
    <w:rsid w:val="00D36E71"/>
    <w:rsid w:val="00D37D87"/>
    <w:rsid w:val="00D40B33"/>
    <w:rsid w:val="00D4318F"/>
    <w:rsid w:val="00D438BF"/>
    <w:rsid w:val="00D440F8"/>
    <w:rsid w:val="00D50499"/>
    <w:rsid w:val="00D50BB4"/>
    <w:rsid w:val="00D546FF"/>
    <w:rsid w:val="00D55AD5"/>
    <w:rsid w:val="00D576CA"/>
    <w:rsid w:val="00D61AF5"/>
    <w:rsid w:val="00D652B5"/>
    <w:rsid w:val="00D66155"/>
    <w:rsid w:val="00D66E5D"/>
    <w:rsid w:val="00D708B0"/>
    <w:rsid w:val="00D77B1D"/>
    <w:rsid w:val="00D8021F"/>
    <w:rsid w:val="00D80383"/>
    <w:rsid w:val="00D8184C"/>
    <w:rsid w:val="00D823C6"/>
    <w:rsid w:val="00D8327F"/>
    <w:rsid w:val="00D86CA3"/>
    <w:rsid w:val="00D86D0C"/>
    <w:rsid w:val="00D871CE"/>
    <w:rsid w:val="00D9196D"/>
    <w:rsid w:val="00D92982"/>
    <w:rsid w:val="00DA14FA"/>
    <w:rsid w:val="00DA305E"/>
    <w:rsid w:val="00DA5417"/>
    <w:rsid w:val="00DA5561"/>
    <w:rsid w:val="00DA56E8"/>
    <w:rsid w:val="00DB0A9F"/>
    <w:rsid w:val="00DB377D"/>
    <w:rsid w:val="00DB4937"/>
    <w:rsid w:val="00DB4E27"/>
    <w:rsid w:val="00DC11D4"/>
    <w:rsid w:val="00DC2D36"/>
    <w:rsid w:val="00DC53EF"/>
    <w:rsid w:val="00DC5A0F"/>
    <w:rsid w:val="00DC7C8F"/>
    <w:rsid w:val="00DE5608"/>
    <w:rsid w:val="00DE58D0"/>
    <w:rsid w:val="00DE654F"/>
    <w:rsid w:val="00DF0B6E"/>
    <w:rsid w:val="00DF15E0"/>
    <w:rsid w:val="00DF31AD"/>
    <w:rsid w:val="00DF354B"/>
    <w:rsid w:val="00DF37A0"/>
    <w:rsid w:val="00DF6A51"/>
    <w:rsid w:val="00DF6F83"/>
    <w:rsid w:val="00E110E7"/>
    <w:rsid w:val="00E11B20"/>
    <w:rsid w:val="00E13287"/>
    <w:rsid w:val="00E17FA2"/>
    <w:rsid w:val="00E22330"/>
    <w:rsid w:val="00E30B5A"/>
    <w:rsid w:val="00E3123D"/>
    <w:rsid w:val="00E31461"/>
    <w:rsid w:val="00E31D43"/>
    <w:rsid w:val="00E32608"/>
    <w:rsid w:val="00E34188"/>
    <w:rsid w:val="00E34B6E"/>
    <w:rsid w:val="00E35559"/>
    <w:rsid w:val="00E3723A"/>
    <w:rsid w:val="00E37860"/>
    <w:rsid w:val="00E446F1"/>
    <w:rsid w:val="00E4607F"/>
    <w:rsid w:val="00E46886"/>
    <w:rsid w:val="00E47AEF"/>
    <w:rsid w:val="00E53B75"/>
    <w:rsid w:val="00E54E3B"/>
    <w:rsid w:val="00E56894"/>
    <w:rsid w:val="00E57565"/>
    <w:rsid w:val="00E63838"/>
    <w:rsid w:val="00E64434"/>
    <w:rsid w:val="00E67C51"/>
    <w:rsid w:val="00E72EFC"/>
    <w:rsid w:val="00E758EC"/>
    <w:rsid w:val="00E8234C"/>
    <w:rsid w:val="00E83AA9"/>
    <w:rsid w:val="00E85928"/>
    <w:rsid w:val="00E87049"/>
    <w:rsid w:val="00E87822"/>
    <w:rsid w:val="00E87A3C"/>
    <w:rsid w:val="00E90395"/>
    <w:rsid w:val="00E90E49"/>
    <w:rsid w:val="00E917F9"/>
    <w:rsid w:val="00E9291C"/>
    <w:rsid w:val="00E93FFE"/>
    <w:rsid w:val="00E94313"/>
    <w:rsid w:val="00E94F8A"/>
    <w:rsid w:val="00E95A66"/>
    <w:rsid w:val="00EA094C"/>
    <w:rsid w:val="00EA7A41"/>
    <w:rsid w:val="00EB077B"/>
    <w:rsid w:val="00EB33FF"/>
    <w:rsid w:val="00EB4EA2"/>
    <w:rsid w:val="00EC24D5"/>
    <w:rsid w:val="00EC27C6"/>
    <w:rsid w:val="00EC4207"/>
    <w:rsid w:val="00EC5653"/>
    <w:rsid w:val="00EC58F1"/>
    <w:rsid w:val="00EC6267"/>
    <w:rsid w:val="00EC71CE"/>
    <w:rsid w:val="00ED1006"/>
    <w:rsid w:val="00ED5449"/>
    <w:rsid w:val="00EF055F"/>
    <w:rsid w:val="00EF18FE"/>
    <w:rsid w:val="00EF5787"/>
    <w:rsid w:val="00EF60D0"/>
    <w:rsid w:val="00EF76D9"/>
    <w:rsid w:val="00F00331"/>
    <w:rsid w:val="00F04F1D"/>
    <w:rsid w:val="00F0528D"/>
    <w:rsid w:val="00F06C67"/>
    <w:rsid w:val="00F06DFD"/>
    <w:rsid w:val="00F071D1"/>
    <w:rsid w:val="00F07533"/>
    <w:rsid w:val="00F077A5"/>
    <w:rsid w:val="00F07CFD"/>
    <w:rsid w:val="00F10629"/>
    <w:rsid w:val="00F14E71"/>
    <w:rsid w:val="00F15FA5"/>
    <w:rsid w:val="00F209B7"/>
    <w:rsid w:val="00F2376F"/>
    <w:rsid w:val="00F243D8"/>
    <w:rsid w:val="00F253BE"/>
    <w:rsid w:val="00F30828"/>
    <w:rsid w:val="00F313D6"/>
    <w:rsid w:val="00F37742"/>
    <w:rsid w:val="00F40397"/>
    <w:rsid w:val="00F40F0C"/>
    <w:rsid w:val="00F42A6D"/>
    <w:rsid w:val="00F4766C"/>
    <w:rsid w:val="00F5060E"/>
    <w:rsid w:val="00F507D1"/>
    <w:rsid w:val="00F519CE"/>
    <w:rsid w:val="00F51ADA"/>
    <w:rsid w:val="00F54B48"/>
    <w:rsid w:val="00F57F8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145"/>
    <w:rsid w:val="00FB6A6A"/>
    <w:rsid w:val="00FC7429"/>
    <w:rsid w:val="00FD07F6"/>
    <w:rsid w:val="00FD1D7D"/>
    <w:rsid w:val="00FD1EC8"/>
    <w:rsid w:val="00FD47ED"/>
    <w:rsid w:val="00FD74DB"/>
    <w:rsid w:val="00FD7660"/>
    <w:rsid w:val="00FE0655"/>
    <w:rsid w:val="00FE2365"/>
    <w:rsid w:val="00FE37D7"/>
    <w:rsid w:val="00FE4C7B"/>
    <w:rsid w:val="00FE661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13552"/>
  <w15:chartTrackingRefBased/>
  <w15:docId w15:val="{4E72E7DE-F1D6-4A13-9A65-93D630ADE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69A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669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669AB"/>
    <w:pPr>
      <w:pBdr>
        <w:top w:val="none" w:sz="0" w:space="0" w:color="auto"/>
      </w:pBdr>
      <w:spacing w:before="180"/>
      <w:outlineLvl w:val="1"/>
    </w:pPr>
    <w:rPr>
      <w:sz w:val="32"/>
    </w:rPr>
  </w:style>
  <w:style w:type="paragraph" w:styleId="Heading3">
    <w:name w:val="heading 3"/>
    <w:basedOn w:val="Heading2"/>
    <w:next w:val="Normal"/>
    <w:link w:val="Heading3Char"/>
    <w:qFormat/>
    <w:rsid w:val="008669AB"/>
    <w:pPr>
      <w:spacing w:before="120"/>
      <w:outlineLvl w:val="2"/>
    </w:pPr>
    <w:rPr>
      <w:sz w:val="28"/>
    </w:rPr>
  </w:style>
  <w:style w:type="paragraph" w:styleId="Heading4">
    <w:name w:val="heading 4"/>
    <w:basedOn w:val="Heading3"/>
    <w:next w:val="Normal"/>
    <w:link w:val="Heading4Char"/>
    <w:qFormat/>
    <w:rsid w:val="008669AB"/>
    <w:pPr>
      <w:ind w:left="1418" w:hanging="1418"/>
      <w:outlineLvl w:val="3"/>
    </w:pPr>
    <w:rPr>
      <w:sz w:val="24"/>
    </w:rPr>
  </w:style>
  <w:style w:type="paragraph" w:styleId="Heading5">
    <w:name w:val="heading 5"/>
    <w:basedOn w:val="Heading4"/>
    <w:next w:val="Normal"/>
    <w:link w:val="Heading5Char"/>
    <w:qFormat/>
    <w:rsid w:val="008669AB"/>
    <w:pPr>
      <w:ind w:left="1701" w:hanging="1701"/>
      <w:outlineLvl w:val="4"/>
    </w:pPr>
    <w:rPr>
      <w:sz w:val="22"/>
    </w:rPr>
  </w:style>
  <w:style w:type="paragraph" w:styleId="Heading6">
    <w:name w:val="heading 6"/>
    <w:basedOn w:val="H6"/>
    <w:next w:val="Normal"/>
    <w:link w:val="Heading6Char"/>
    <w:qFormat/>
    <w:rsid w:val="008669AB"/>
    <w:pPr>
      <w:outlineLvl w:val="5"/>
    </w:pPr>
  </w:style>
  <w:style w:type="paragraph" w:styleId="Heading7">
    <w:name w:val="heading 7"/>
    <w:basedOn w:val="H6"/>
    <w:next w:val="Normal"/>
    <w:link w:val="Heading7Char"/>
    <w:qFormat/>
    <w:rsid w:val="008669AB"/>
    <w:pPr>
      <w:outlineLvl w:val="6"/>
    </w:pPr>
  </w:style>
  <w:style w:type="paragraph" w:styleId="Heading8">
    <w:name w:val="heading 8"/>
    <w:basedOn w:val="Heading1"/>
    <w:next w:val="Normal"/>
    <w:link w:val="Heading8Char"/>
    <w:qFormat/>
    <w:rsid w:val="008669AB"/>
    <w:pPr>
      <w:ind w:left="0" w:firstLine="0"/>
      <w:outlineLvl w:val="7"/>
    </w:pPr>
  </w:style>
  <w:style w:type="paragraph" w:styleId="Heading9">
    <w:name w:val="heading 9"/>
    <w:basedOn w:val="Heading8"/>
    <w:next w:val="Normal"/>
    <w:link w:val="Heading9Char"/>
    <w:qFormat/>
    <w:rsid w:val="008669AB"/>
    <w:pPr>
      <w:outlineLvl w:val="8"/>
    </w:pPr>
  </w:style>
  <w:style w:type="character" w:default="1" w:styleId="DefaultParagraphFont">
    <w:name w:val="Default Paragraph Font"/>
    <w:uiPriority w:val="1"/>
    <w:semiHidden/>
    <w:unhideWhenUsed/>
    <w:rsid w:val="008669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9AB"/>
  </w:style>
  <w:style w:type="paragraph" w:styleId="TOC8">
    <w:name w:val="toc 8"/>
    <w:basedOn w:val="TOC1"/>
    <w:uiPriority w:val="39"/>
    <w:rsid w:val="008669AB"/>
    <w:pPr>
      <w:spacing w:before="180"/>
      <w:ind w:left="2693" w:hanging="2693"/>
    </w:pPr>
    <w:rPr>
      <w:b/>
    </w:rPr>
  </w:style>
  <w:style w:type="paragraph" w:styleId="TOC1">
    <w:name w:val="toc 1"/>
    <w:uiPriority w:val="39"/>
    <w:rsid w:val="008669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669AB"/>
    <w:pPr>
      <w:keepNext/>
      <w:keepLines/>
      <w:spacing w:before="180"/>
      <w:jc w:val="center"/>
    </w:pPr>
  </w:style>
  <w:style w:type="paragraph" w:styleId="Caption">
    <w:name w:val="caption"/>
    <w:basedOn w:val="Normal"/>
    <w:next w:val="Normal"/>
    <w:qFormat/>
    <w:rsid w:val="008669AB"/>
    <w:pPr>
      <w:spacing w:before="120" w:after="120"/>
    </w:pPr>
    <w:rPr>
      <w:b/>
      <w:lang w:eastAsia="en-GB"/>
    </w:rPr>
  </w:style>
  <w:style w:type="paragraph" w:styleId="TOC5">
    <w:name w:val="toc 5"/>
    <w:basedOn w:val="TOC4"/>
    <w:uiPriority w:val="39"/>
    <w:rsid w:val="008669AB"/>
    <w:pPr>
      <w:ind w:left="1701" w:hanging="1701"/>
    </w:pPr>
  </w:style>
  <w:style w:type="paragraph" w:styleId="TOC4">
    <w:name w:val="toc 4"/>
    <w:basedOn w:val="TOC3"/>
    <w:uiPriority w:val="39"/>
    <w:rsid w:val="008669AB"/>
    <w:pPr>
      <w:ind w:left="1418" w:hanging="1418"/>
    </w:pPr>
  </w:style>
  <w:style w:type="paragraph" w:styleId="TOC3">
    <w:name w:val="toc 3"/>
    <w:basedOn w:val="TOC2"/>
    <w:uiPriority w:val="39"/>
    <w:rsid w:val="008669AB"/>
    <w:pPr>
      <w:ind w:left="1134" w:hanging="1134"/>
    </w:pPr>
  </w:style>
  <w:style w:type="paragraph" w:styleId="TOC2">
    <w:name w:val="toc 2"/>
    <w:basedOn w:val="TOC1"/>
    <w:uiPriority w:val="39"/>
    <w:rsid w:val="008669AB"/>
    <w:pPr>
      <w:keepNext w:val="0"/>
      <w:spacing w:before="0"/>
      <w:ind w:left="851" w:hanging="851"/>
    </w:pPr>
    <w:rPr>
      <w:sz w:val="20"/>
    </w:rPr>
  </w:style>
  <w:style w:type="paragraph" w:styleId="Index2">
    <w:name w:val="index 2"/>
    <w:basedOn w:val="Index1"/>
    <w:rsid w:val="008669AB"/>
    <w:pPr>
      <w:ind w:left="284"/>
    </w:pPr>
  </w:style>
  <w:style w:type="paragraph" w:styleId="Index1">
    <w:name w:val="index 1"/>
    <w:basedOn w:val="Normal"/>
    <w:rsid w:val="008669AB"/>
    <w:pPr>
      <w:keepLines/>
      <w:spacing w:after="0"/>
    </w:pPr>
  </w:style>
  <w:style w:type="paragraph" w:styleId="DocumentMap">
    <w:name w:val="Document Map"/>
    <w:basedOn w:val="Normal"/>
    <w:link w:val="DocumentMapChar"/>
    <w:rsid w:val="008669AB"/>
    <w:pPr>
      <w:shd w:val="clear" w:color="auto" w:fill="000080"/>
    </w:pPr>
    <w:rPr>
      <w:rFonts w:ascii="Tahoma" w:hAnsi="Tahoma" w:cs="Tahoma"/>
    </w:rPr>
  </w:style>
  <w:style w:type="paragraph" w:styleId="ListNumber2">
    <w:name w:val="List Number 2"/>
    <w:basedOn w:val="ListNumber"/>
    <w:rsid w:val="008669AB"/>
    <w:pPr>
      <w:numPr>
        <w:numId w:val="22"/>
      </w:numPr>
    </w:pPr>
  </w:style>
  <w:style w:type="paragraph" w:styleId="ListNumber">
    <w:name w:val="List Number"/>
    <w:basedOn w:val="List"/>
    <w:rsid w:val="008669AB"/>
    <w:pPr>
      <w:numPr>
        <w:numId w:val="21"/>
      </w:numPr>
    </w:pPr>
    <w:rPr>
      <w:lang w:eastAsia="ja-JP"/>
    </w:rPr>
  </w:style>
  <w:style w:type="paragraph" w:styleId="List">
    <w:name w:val="List"/>
    <w:basedOn w:val="BodyText"/>
    <w:rsid w:val="008669A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69A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669AB"/>
    <w:rPr>
      <w:b/>
      <w:position w:val="6"/>
      <w:sz w:val="16"/>
    </w:rPr>
  </w:style>
  <w:style w:type="paragraph" w:styleId="FootnoteText">
    <w:name w:val="footnote text"/>
    <w:basedOn w:val="Normal"/>
    <w:link w:val="FootnoteTextChar"/>
    <w:rsid w:val="008669AB"/>
    <w:pPr>
      <w:keepLines/>
      <w:spacing w:after="0"/>
      <w:ind w:left="454" w:hanging="454"/>
    </w:pPr>
    <w:rPr>
      <w:sz w:val="16"/>
    </w:rPr>
  </w:style>
  <w:style w:type="paragraph" w:customStyle="1" w:styleId="3GPPHeader">
    <w:name w:val="3GPP_Header"/>
    <w:basedOn w:val="BodyText"/>
    <w:rsid w:val="008669AB"/>
    <w:pPr>
      <w:tabs>
        <w:tab w:val="left" w:pos="1701"/>
        <w:tab w:val="right" w:pos="9639"/>
      </w:tabs>
      <w:spacing w:after="240"/>
    </w:pPr>
    <w:rPr>
      <w:b/>
      <w:sz w:val="24"/>
    </w:rPr>
  </w:style>
  <w:style w:type="paragraph" w:styleId="TOC9">
    <w:name w:val="toc 9"/>
    <w:basedOn w:val="TOC8"/>
    <w:uiPriority w:val="39"/>
    <w:rsid w:val="008669AB"/>
    <w:pPr>
      <w:ind w:left="1418" w:hanging="1418"/>
    </w:pPr>
  </w:style>
  <w:style w:type="paragraph" w:styleId="TOC6">
    <w:name w:val="toc 6"/>
    <w:basedOn w:val="TOC5"/>
    <w:next w:val="Normal"/>
    <w:uiPriority w:val="39"/>
    <w:rsid w:val="008669AB"/>
    <w:pPr>
      <w:ind w:left="1985" w:hanging="1985"/>
    </w:pPr>
  </w:style>
  <w:style w:type="paragraph" w:styleId="TOC7">
    <w:name w:val="toc 7"/>
    <w:basedOn w:val="TOC6"/>
    <w:next w:val="Normal"/>
    <w:uiPriority w:val="39"/>
    <w:rsid w:val="008669AB"/>
    <w:pPr>
      <w:ind w:left="2268" w:hanging="2268"/>
    </w:pPr>
  </w:style>
  <w:style w:type="paragraph" w:styleId="ListBullet2">
    <w:name w:val="List Bullet 2"/>
    <w:basedOn w:val="ListBullet"/>
    <w:rsid w:val="008669AB"/>
    <w:pPr>
      <w:numPr>
        <w:numId w:val="17"/>
      </w:numPr>
    </w:pPr>
  </w:style>
  <w:style w:type="paragraph" w:styleId="ListBullet">
    <w:name w:val="List Bullet"/>
    <w:basedOn w:val="List"/>
    <w:rsid w:val="008669AB"/>
    <w:pPr>
      <w:numPr>
        <w:numId w:val="16"/>
      </w:numPr>
    </w:pPr>
    <w:rPr>
      <w:lang w:eastAsia="ja-JP"/>
    </w:rPr>
  </w:style>
  <w:style w:type="paragraph" w:styleId="ListBullet3">
    <w:name w:val="List Bullet 3"/>
    <w:basedOn w:val="ListBullet2"/>
    <w:rsid w:val="008669AB"/>
    <w:pPr>
      <w:numPr>
        <w:numId w:val="18"/>
      </w:numPr>
    </w:pPr>
  </w:style>
  <w:style w:type="paragraph" w:customStyle="1" w:styleId="EQ">
    <w:name w:val="EQ"/>
    <w:basedOn w:val="Normal"/>
    <w:next w:val="Normal"/>
    <w:rsid w:val="008669AB"/>
    <w:pPr>
      <w:keepLines/>
      <w:tabs>
        <w:tab w:val="center" w:pos="4536"/>
        <w:tab w:val="right" w:pos="9072"/>
      </w:tabs>
    </w:pPr>
    <w:rPr>
      <w:noProof/>
    </w:rPr>
  </w:style>
  <w:style w:type="paragraph" w:styleId="List2">
    <w:name w:val="List 2"/>
    <w:basedOn w:val="List"/>
    <w:rsid w:val="008669AB"/>
    <w:pPr>
      <w:ind w:left="851"/>
    </w:pPr>
    <w:rPr>
      <w:lang w:eastAsia="ja-JP"/>
    </w:rPr>
  </w:style>
  <w:style w:type="paragraph" w:styleId="List3">
    <w:name w:val="List 3"/>
    <w:basedOn w:val="List2"/>
    <w:rsid w:val="008669AB"/>
    <w:pPr>
      <w:ind w:left="1135"/>
    </w:pPr>
  </w:style>
  <w:style w:type="paragraph" w:styleId="List4">
    <w:name w:val="List 4"/>
    <w:basedOn w:val="List3"/>
    <w:rsid w:val="008669AB"/>
    <w:pPr>
      <w:ind w:left="1418"/>
    </w:pPr>
  </w:style>
  <w:style w:type="paragraph" w:styleId="List5">
    <w:name w:val="List 5"/>
    <w:basedOn w:val="List4"/>
    <w:rsid w:val="008669AB"/>
    <w:pPr>
      <w:ind w:left="1702"/>
    </w:pPr>
  </w:style>
  <w:style w:type="paragraph" w:customStyle="1" w:styleId="EditorsNote">
    <w:name w:val="Editor's Note"/>
    <w:basedOn w:val="NO"/>
    <w:link w:val="EditorsNoteChar"/>
    <w:rsid w:val="008669AB"/>
    <w:rPr>
      <w:color w:val="FF0000"/>
      <w:lang w:val="x-none" w:eastAsia="x-none"/>
    </w:rPr>
  </w:style>
  <w:style w:type="paragraph" w:styleId="ListBullet4">
    <w:name w:val="List Bullet 4"/>
    <w:basedOn w:val="ListBullet3"/>
    <w:rsid w:val="008669AB"/>
    <w:pPr>
      <w:numPr>
        <w:numId w:val="19"/>
      </w:numPr>
    </w:pPr>
  </w:style>
  <w:style w:type="paragraph" w:styleId="ListBullet5">
    <w:name w:val="List Bullet 5"/>
    <w:basedOn w:val="ListBullet4"/>
    <w:rsid w:val="008669AB"/>
    <w:pPr>
      <w:numPr>
        <w:numId w:val="20"/>
      </w:numPr>
    </w:pPr>
  </w:style>
  <w:style w:type="paragraph" w:styleId="Footer">
    <w:name w:val="footer"/>
    <w:basedOn w:val="Header"/>
    <w:link w:val="FooterChar"/>
    <w:rsid w:val="008669AB"/>
    <w:pPr>
      <w:jc w:val="center"/>
    </w:pPr>
    <w:rPr>
      <w:i/>
    </w:rPr>
  </w:style>
  <w:style w:type="paragraph" w:customStyle="1" w:styleId="Reference">
    <w:name w:val="Reference"/>
    <w:basedOn w:val="BodyText"/>
    <w:rsid w:val="008669AB"/>
    <w:pPr>
      <w:numPr>
        <w:numId w:val="2"/>
      </w:numPr>
    </w:pPr>
  </w:style>
  <w:style w:type="paragraph" w:styleId="BalloonText">
    <w:name w:val="Balloon Text"/>
    <w:basedOn w:val="Normal"/>
    <w:link w:val="BalloonTextChar"/>
    <w:rsid w:val="008669AB"/>
    <w:pPr>
      <w:spacing w:after="0"/>
    </w:pPr>
    <w:rPr>
      <w:rFonts w:ascii="Segoe UI" w:hAnsi="Segoe UI" w:cs="Segoe UI"/>
      <w:sz w:val="18"/>
      <w:szCs w:val="18"/>
    </w:rPr>
  </w:style>
  <w:style w:type="character" w:styleId="PageNumber">
    <w:name w:val="page number"/>
    <w:basedOn w:val="DefaultParagraphFont"/>
    <w:rsid w:val="008669AB"/>
  </w:style>
  <w:style w:type="paragraph" w:styleId="BodyText">
    <w:name w:val="Body Text"/>
    <w:basedOn w:val="Normal"/>
    <w:link w:val="BodyTextChar"/>
    <w:rsid w:val="008669AB"/>
    <w:pPr>
      <w:spacing w:after="120"/>
      <w:jc w:val="both"/>
    </w:pPr>
    <w:rPr>
      <w:rFonts w:ascii="Arial" w:hAnsi="Arial"/>
      <w:lang w:eastAsia="zh-CN"/>
    </w:rPr>
  </w:style>
  <w:style w:type="character" w:styleId="Hyperlink">
    <w:name w:val="Hyperlink"/>
    <w:uiPriority w:val="99"/>
    <w:rsid w:val="008669AB"/>
    <w:rPr>
      <w:color w:val="0000FF"/>
      <w:u w:val="single"/>
    </w:rPr>
  </w:style>
  <w:style w:type="character" w:styleId="FollowedHyperlink">
    <w:name w:val="FollowedHyperlink"/>
    <w:unhideWhenUsed/>
    <w:rsid w:val="008669AB"/>
    <w:rPr>
      <w:color w:val="800080"/>
      <w:u w:val="single"/>
    </w:rPr>
  </w:style>
  <w:style w:type="character" w:styleId="CommentReference">
    <w:name w:val="annotation reference"/>
    <w:uiPriority w:val="99"/>
    <w:qFormat/>
    <w:rsid w:val="008669AB"/>
    <w:rPr>
      <w:sz w:val="16"/>
      <w:szCs w:val="16"/>
    </w:rPr>
  </w:style>
  <w:style w:type="paragraph" w:styleId="CommentText">
    <w:name w:val="annotation text"/>
    <w:basedOn w:val="Normal"/>
    <w:link w:val="CommentTextChar"/>
    <w:uiPriority w:val="99"/>
    <w:qFormat/>
    <w:rsid w:val="008669AB"/>
  </w:style>
  <w:style w:type="paragraph" w:styleId="CommentSubject">
    <w:name w:val="annotation subject"/>
    <w:basedOn w:val="CommentText"/>
    <w:next w:val="CommentText"/>
    <w:link w:val="CommentSubjectChar"/>
    <w:rsid w:val="008669AB"/>
    <w:rPr>
      <w:b/>
      <w:bCs/>
    </w:rPr>
  </w:style>
  <w:style w:type="character" w:customStyle="1" w:styleId="Heading1Char">
    <w:name w:val="Heading 1 Char"/>
    <w:link w:val="Heading1"/>
    <w:rsid w:val="008669AB"/>
    <w:rPr>
      <w:rFonts w:ascii="Arial" w:hAnsi="Arial"/>
      <w:sz w:val="36"/>
      <w:lang w:eastAsia="ja-JP"/>
    </w:rPr>
  </w:style>
  <w:style w:type="paragraph" w:customStyle="1" w:styleId="B1">
    <w:name w:val="B1"/>
    <w:basedOn w:val="List"/>
    <w:link w:val="B1Char1"/>
    <w:rsid w:val="008669AB"/>
    <w:rPr>
      <w:rFonts w:ascii="Times New Roman" w:hAnsi="Times New Roman"/>
    </w:rPr>
  </w:style>
  <w:style w:type="paragraph" w:customStyle="1" w:styleId="B2">
    <w:name w:val="B2"/>
    <w:basedOn w:val="List2"/>
    <w:link w:val="B2Char"/>
    <w:rsid w:val="008669AB"/>
    <w:rPr>
      <w:rFonts w:ascii="Times New Roman" w:hAnsi="Times New Roman"/>
    </w:rPr>
  </w:style>
  <w:style w:type="paragraph" w:customStyle="1" w:styleId="B3">
    <w:name w:val="B3"/>
    <w:basedOn w:val="List3"/>
    <w:link w:val="B3Char2"/>
    <w:rsid w:val="008669AB"/>
    <w:rPr>
      <w:rFonts w:ascii="Times New Roman" w:hAnsi="Times New Roman"/>
    </w:rPr>
  </w:style>
  <w:style w:type="paragraph" w:customStyle="1" w:styleId="B4">
    <w:name w:val="B4"/>
    <w:basedOn w:val="List4"/>
    <w:link w:val="B4Char"/>
    <w:rsid w:val="008669AB"/>
    <w:rPr>
      <w:rFonts w:ascii="Times New Roman" w:hAnsi="Times New Roman"/>
    </w:rPr>
  </w:style>
  <w:style w:type="paragraph" w:customStyle="1" w:styleId="Proposal">
    <w:name w:val="Proposal"/>
    <w:basedOn w:val="BodyText"/>
    <w:rsid w:val="008669AB"/>
    <w:pPr>
      <w:numPr>
        <w:numId w:val="3"/>
      </w:numPr>
      <w:tabs>
        <w:tab w:val="clear" w:pos="1304"/>
        <w:tab w:val="left" w:pos="1701"/>
      </w:tabs>
      <w:ind w:left="1701" w:hanging="1701"/>
    </w:pPr>
    <w:rPr>
      <w:b/>
      <w:bCs/>
    </w:rPr>
  </w:style>
  <w:style w:type="character" w:customStyle="1" w:styleId="BodyTextChar">
    <w:name w:val="Body Text Char"/>
    <w:link w:val="BodyText"/>
    <w:rsid w:val="008669AB"/>
    <w:rPr>
      <w:rFonts w:ascii="Arial" w:hAnsi="Arial"/>
      <w:lang w:eastAsia="zh-CN"/>
    </w:rPr>
  </w:style>
  <w:style w:type="paragraph" w:customStyle="1" w:styleId="B5">
    <w:name w:val="B5"/>
    <w:basedOn w:val="List5"/>
    <w:link w:val="B5Char"/>
    <w:rsid w:val="008669AB"/>
    <w:rPr>
      <w:rFonts w:ascii="Times New Roman" w:hAnsi="Times New Roman"/>
    </w:rPr>
  </w:style>
  <w:style w:type="paragraph" w:customStyle="1" w:styleId="EX">
    <w:name w:val="EX"/>
    <w:basedOn w:val="Normal"/>
    <w:rsid w:val="008669AB"/>
    <w:pPr>
      <w:keepLines/>
      <w:ind w:left="1702" w:hanging="1418"/>
    </w:pPr>
  </w:style>
  <w:style w:type="paragraph" w:customStyle="1" w:styleId="EW">
    <w:name w:val="EW"/>
    <w:basedOn w:val="EX"/>
    <w:rsid w:val="008669AB"/>
    <w:pPr>
      <w:spacing w:after="0"/>
    </w:pPr>
  </w:style>
  <w:style w:type="paragraph" w:customStyle="1" w:styleId="TAL">
    <w:name w:val="TAL"/>
    <w:basedOn w:val="Normal"/>
    <w:link w:val="TALCar"/>
    <w:rsid w:val="008669AB"/>
    <w:pPr>
      <w:keepNext/>
      <w:keepLines/>
      <w:spacing w:after="0"/>
    </w:pPr>
    <w:rPr>
      <w:rFonts w:ascii="Arial" w:hAnsi="Arial"/>
      <w:sz w:val="18"/>
      <w:lang w:val="x-none" w:eastAsia="x-none"/>
    </w:rPr>
  </w:style>
  <w:style w:type="paragraph" w:customStyle="1" w:styleId="TAC">
    <w:name w:val="TAC"/>
    <w:basedOn w:val="TAL"/>
    <w:link w:val="TACChar"/>
    <w:rsid w:val="008669AB"/>
    <w:pPr>
      <w:jc w:val="center"/>
    </w:pPr>
  </w:style>
  <w:style w:type="paragraph" w:customStyle="1" w:styleId="TAH">
    <w:name w:val="TAH"/>
    <w:basedOn w:val="TAC"/>
    <w:link w:val="TAHCar"/>
    <w:rsid w:val="008669AB"/>
    <w:rPr>
      <w:b/>
    </w:rPr>
  </w:style>
  <w:style w:type="paragraph" w:customStyle="1" w:styleId="TAN">
    <w:name w:val="TAN"/>
    <w:basedOn w:val="TAL"/>
    <w:rsid w:val="008669AB"/>
    <w:pPr>
      <w:ind w:left="851" w:hanging="851"/>
    </w:pPr>
  </w:style>
  <w:style w:type="paragraph" w:customStyle="1" w:styleId="TAR">
    <w:name w:val="TAR"/>
    <w:basedOn w:val="TAL"/>
    <w:rsid w:val="008669AB"/>
    <w:pPr>
      <w:jc w:val="right"/>
    </w:pPr>
  </w:style>
  <w:style w:type="paragraph" w:customStyle="1" w:styleId="TH">
    <w:name w:val="TH"/>
    <w:basedOn w:val="Normal"/>
    <w:link w:val="THChar"/>
    <w:rsid w:val="008669AB"/>
    <w:pPr>
      <w:keepNext/>
      <w:keepLines/>
      <w:spacing w:before="60"/>
      <w:jc w:val="center"/>
    </w:pPr>
    <w:rPr>
      <w:rFonts w:ascii="Arial" w:hAnsi="Arial"/>
      <w:b/>
      <w:lang w:val="x-none" w:eastAsia="x-none"/>
    </w:rPr>
  </w:style>
  <w:style w:type="paragraph" w:customStyle="1" w:styleId="TF">
    <w:name w:val="TF"/>
    <w:basedOn w:val="TH"/>
    <w:link w:val="TFChar"/>
    <w:rsid w:val="008669AB"/>
    <w:pPr>
      <w:keepNext w:val="0"/>
      <w:spacing w:before="0" w:after="240"/>
    </w:pPr>
  </w:style>
  <w:style w:type="paragraph" w:customStyle="1" w:styleId="TT">
    <w:name w:val="TT"/>
    <w:basedOn w:val="Heading1"/>
    <w:next w:val="Normal"/>
    <w:rsid w:val="008669AB"/>
    <w:pPr>
      <w:outlineLvl w:val="9"/>
    </w:pPr>
  </w:style>
  <w:style w:type="paragraph" w:customStyle="1" w:styleId="ZA">
    <w:name w:val="ZA"/>
    <w:rsid w:val="008669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669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669A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669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669AB"/>
  </w:style>
  <w:style w:type="paragraph" w:customStyle="1" w:styleId="ZH">
    <w:name w:val="ZH"/>
    <w:rsid w:val="008669A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669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669AB"/>
    <w:pPr>
      <w:framePr w:hRule="auto" w:wrap="notBeside" w:y="852"/>
    </w:pPr>
    <w:rPr>
      <w:i w:val="0"/>
      <w:sz w:val="40"/>
    </w:rPr>
  </w:style>
  <w:style w:type="paragraph" w:customStyle="1" w:styleId="ZU">
    <w:name w:val="ZU"/>
    <w:rsid w:val="008669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669AB"/>
    <w:pPr>
      <w:framePr w:wrap="notBeside" w:y="16161"/>
    </w:pPr>
  </w:style>
  <w:style w:type="paragraph" w:customStyle="1" w:styleId="FP">
    <w:name w:val="FP"/>
    <w:basedOn w:val="Normal"/>
    <w:rsid w:val="008669AB"/>
    <w:pPr>
      <w:spacing w:after="0"/>
    </w:pPr>
  </w:style>
  <w:style w:type="paragraph" w:customStyle="1" w:styleId="Observation">
    <w:name w:val="Observation"/>
    <w:basedOn w:val="Proposal"/>
    <w:qFormat/>
    <w:rsid w:val="008669AB"/>
    <w:pPr>
      <w:numPr>
        <w:numId w:val="13"/>
      </w:numPr>
      <w:ind w:left="1701" w:hanging="1701"/>
    </w:pPr>
    <w:rPr>
      <w:lang w:eastAsia="ja-JP"/>
    </w:rPr>
  </w:style>
  <w:style w:type="paragraph" w:styleId="TableofFigures">
    <w:name w:val="table of figures"/>
    <w:basedOn w:val="BodyText"/>
    <w:next w:val="Normal"/>
    <w:uiPriority w:val="99"/>
    <w:rsid w:val="008669AB"/>
    <w:pPr>
      <w:ind w:left="1701" w:hanging="1701"/>
      <w:jc w:val="left"/>
    </w:pPr>
    <w:rPr>
      <w:b/>
    </w:rPr>
  </w:style>
  <w:style w:type="character" w:customStyle="1" w:styleId="B1Char1">
    <w:name w:val="B1 Char1"/>
    <w:link w:val="B1"/>
    <w:qFormat/>
    <w:rsid w:val="008669AB"/>
    <w:rPr>
      <w:rFonts w:ascii="Times New Roman" w:hAnsi="Times New Roman"/>
      <w:lang w:eastAsia="zh-CN"/>
    </w:rPr>
  </w:style>
  <w:style w:type="character" w:customStyle="1" w:styleId="B2Char">
    <w:name w:val="B2 Char"/>
    <w:link w:val="B2"/>
    <w:qFormat/>
    <w:rsid w:val="008669AB"/>
    <w:rPr>
      <w:rFonts w:ascii="Times New Roman" w:hAnsi="Times New Roman"/>
      <w:lang w:eastAsia="ja-JP"/>
    </w:rPr>
  </w:style>
  <w:style w:type="character" w:customStyle="1" w:styleId="B3Char2">
    <w:name w:val="B3 Char2"/>
    <w:link w:val="B3"/>
    <w:qFormat/>
    <w:rsid w:val="008669AB"/>
    <w:rPr>
      <w:rFonts w:ascii="Times New Roman" w:hAnsi="Times New Roman"/>
      <w:lang w:eastAsia="ja-JP"/>
    </w:rPr>
  </w:style>
  <w:style w:type="character" w:customStyle="1" w:styleId="B4Char">
    <w:name w:val="B4 Char"/>
    <w:link w:val="B4"/>
    <w:rsid w:val="008669AB"/>
    <w:rPr>
      <w:rFonts w:ascii="Times New Roman" w:hAnsi="Times New Roman"/>
      <w:lang w:eastAsia="ja-JP"/>
    </w:rPr>
  </w:style>
  <w:style w:type="character" w:customStyle="1" w:styleId="B5Char">
    <w:name w:val="B5 Char"/>
    <w:link w:val="B5"/>
    <w:rsid w:val="008669AB"/>
    <w:rPr>
      <w:rFonts w:ascii="Times New Roman" w:hAnsi="Times New Roman"/>
      <w:lang w:eastAsia="ja-JP"/>
    </w:rPr>
  </w:style>
  <w:style w:type="paragraph" w:customStyle="1" w:styleId="B6">
    <w:name w:val="B6"/>
    <w:basedOn w:val="B5"/>
    <w:link w:val="B6Char"/>
    <w:rsid w:val="008669AB"/>
    <w:pPr>
      <w:ind w:left="1985"/>
    </w:pPr>
  </w:style>
  <w:style w:type="character" w:customStyle="1" w:styleId="B6Char">
    <w:name w:val="B6 Char"/>
    <w:link w:val="B6"/>
    <w:rsid w:val="008669AB"/>
    <w:rPr>
      <w:rFonts w:ascii="Times New Roman" w:hAnsi="Times New Roman"/>
      <w:lang w:eastAsia="ja-JP"/>
    </w:rPr>
  </w:style>
  <w:style w:type="paragraph" w:customStyle="1" w:styleId="B7">
    <w:name w:val="B7"/>
    <w:basedOn w:val="B6"/>
    <w:link w:val="B7Char"/>
    <w:rsid w:val="008669AB"/>
    <w:pPr>
      <w:ind w:left="2269"/>
    </w:pPr>
  </w:style>
  <w:style w:type="character" w:customStyle="1" w:styleId="B7Char">
    <w:name w:val="B7 Char"/>
    <w:basedOn w:val="B6Char"/>
    <w:link w:val="B7"/>
    <w:rsid w:val="008669AB"/>
    <w:rPr>
      <w:rFonts w:ascii="Times New Roman" w:hAnsi="Times New Roman"/>
      <w:lang w:eastAsia="ja-JP"/>
    </w:rPr>
  </w:style>
  <w:style w:type="paragraph" w:customStyle="1" w:styleId="B8">
    <w:name w:val="B8"/>
    <w:basedOn w:val="B7"/>
    <w:qFormat/>
    <w:rsid w:val="008669AB"/>
    <w:pPr>
      <w:ind w:left="2552"/>
    </w:pPr>
  </w:style>
  <w:style w:type="character" w:customStyle="1" w:styleId="BalloonTextChar">
    <w:name w:val="Balloon Text Char"/>
    <w:link w:val="BalloonText"/>
    <w:rsid w:val="008669AB"/>
    <w:rPr>
      <w:rFonts w:ascii="Segoe UI" w:hAnsi="Segoe UI" w:cs="Segoe UI"/>
      <w:sz w:val="18"/>
      <w:szCs w:val="18"/>
      <w:lang w:eastAsia="ja-JP"/>
    </w:rPr>
  </w:style>
  <w:style w:type="character" w:customStyle="1" w:styleId="CommentTextChar">
    <w:name w:val="Comment Text Char"/>
    <w:link w:val="CommentText"/>
    <w:uiPriority w:val="99"/>
    <w:qFormat/>
    <w:rsid w:val="008669AB"/>
    <w:rPr>
      <w:rFonts w:ascii="Times New Roman" w:hAnsi="Times New Roman"/>
      <w:lang w:eastAsia="ja-JP"/>
    </w:rPr>
  </w:style>
  <w:style w:type="character" w:customStyle="1" w:styleId="CommentSubjectChar">
    <w:name w:val="Comment Subject Char"/>
    <w:link w:val="CommentSubject"/>
    <w:rsid w:val="008669AB"/>
    <w:rPr>
      <w:rFonts w:ascii="Times New Roman" w:hAnsi="Times New Roman"/>
      <w:b/>
      <w:bCs/>
      <w:lang w:eastAsia="ja-JP"/>
    </w:rPr>
  </w:style>
  <w:style w:type="paragraph" w:customStyle="1" w:styleId="CRCoverPage">
    <w:name w:val="CR Cover Page"/>
    <w:link w:val="CRCoverPageZchn"/>
    <w:rsid w:val="008669AB"/>
    <w:pPr>
      <w:spacing w:after="120"/>
    </w:pPr>
    <w:rPr>
      <w:rFonts w:ascii="Arial" w:hAnsi="Arial"/>
      <w:lang w:eastAsia="ko-KR"/>
    </w:rPr>
  </w:style>
  <w:style w:type="character" w:customStyle="1" w:styleId="CRCoverPageZchn">
    <w:name w:val="CR Cover Page Zchn"/>
    <w:link w:val="CRCoverPage"/>
    <w:rsid w:val="008669AB"/>
    <w:rPr>
      <w:rFonts w:ascii="Arial" w:hAnsi="Arial"/>
      <w:lang w:eastAsia="ko-KR"/>
    </w:rPr>
  </w:style>
  <w:style w:type="paragraph" w:customStyle="1" w:styleId="Doc-text2">
    <w:name w:val="Doc-text2"/>
    <w:basedOn w:val="Normal"/>
    <w:link w:val="Doc-text2Char"/>
    <w:qFormat/>
    <w:rsid w:val="008669A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669AB"/>
    <w:rPr>
      <w:rFonts w:ascii="Arial" w:eastAsia="MS Mincho" w:hAnsi="Arial"/>
      <w:szCs w:val="24"/>
      <w:lang w:val="x-none" w:eastAsia="x-none"/>
    </w:rPr>
  </w:style>
  <w:style w:type="character" w:customStyle="1" w:styleId="DocumentMapChar">
    <w:name w:val="Document Map Char"/>
    <w:link w:val="DocumentMap"/>
    <w:rsid w:val="008669AB"/>
    <w:rPr>
      <w:rFonts w:ascii="Tahoma" w:hAnsi="Tahoma" w:cs="Tahoma"/>
      <w:shd w:val="clear" w:color="auto" w:fill="000080"/>
      <w:lang w:eastAsia="ja-JP"/>
    </w:rPr>
  </w:style>
  <w:style w:type="paragraph" w:customStyle="1" w:styleId="NO">
    <w:name w:val="NO"/>
    <w:basedOn w:val="Normal"/>
    <w:link w:val="NOChar"/>
    <w:rsid w:val="008669AB"/>
    <w:pPr>
      <w:keepLines/>
      <w:ind w:left="1135" w:hanging="851"/>
    </w:pPr>
  </w:style>
  <w:style w:type="character" w:customStyle="1" w:styleId="NOChar">
    <w:name w:val="NO Char"/>
    <w:link w:val="NO"/>
    <w:qFormat/>
    <w:rsid w:val="008669AB"/>
    <w:rPr>
      <w:rFonts w:ascii="Times New Roman" w:hAnsi="Times New Roman"/>
      <w:lang w:eastAsia="ja-JP"/>
    </w:rPr>
  </w:style>
  <w:style w:type="character" w:customStyle="1" w:styleId="EditorsNoteChar">
    <w:name w:val="Editor's Note Char"/>
    <w:link w:val="EditorsNote"/>
    <w:rsid w:val="008669AB"/>
    <w:rPr>
      <w:rFonts w:ascii="Times New Roman" w:hAnsi="Times New Roman"/>
      <w:color w:val="FF0000"/>
      <w:lang w:val="x-none" w:eastAsia="x-none"/>
    </w:rPr>
  </w:style>
  <w:style w:type="paragraph" w:customStyle="1" w:styleId="EmailDiscussion">
    <w:name w:val="EmailDiscussion"/>
    <w:basedOn w:val="Normal"/>
    <w:next w:val="Normal"/>
    <w:rsid w:val="008669AB"/>
    <w:pPr>
      <w:numPr>
        <w:numId w:val="14"/>
      </w:numPr>
      <w:spacing w:before="40" w:after="0"/>
    </w:pPr>
    <w:rPr>
      <w:rFonts w:ascii="Arial" w:eastAsia="MS Mincho" w:hAnsi="Arial"/>
      <w:b/>
      <w:szCs w:val="24"/>
      <w:lang w:eastAsia="en-GB"/>
    </w:rPr>
  </w:style>
  <w:style w:type="character" w:styleId="Emphasis">
    <w:name w:val="Emphasis"/>
    <w:qFormat/>
    <w:rsid w:val="008669AB"/>
    <w:rPr>
      <w:i/>
      <w:iCs/>
    </w:rPr>
  </w:style>
  <w:style w:type="paragraph" w:customStyle="1" w:styleId="FigureTitle">
    <w:name w:val="Figure_Title"/>
    <w:basedOn w:val="Normal"/>
    <w:next w:val="Normal"/>
    <w:rsid w:val="008669A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669AB"/>
    <w:rPr>
      <w:rFonts w:ascii="Arial" w:hAnsi="Arial"/>
      <w:b/>
      <w:noProof/>
      <w:sz w:val="18"/>
      <w:lang w:eastAsia="ja-JP"/>
    </w:rPr>
  </w:style>
  <w:style w:type="character" w:customStyle="1" w:styleId="FooterChar">
    <w:name w:val="Footer Char"/>
    <w:link w:val="Footer"/>
    <w:rsid w:val="008669AB"/>
    <w:rPr>
      <w:rFonts w:ascii="Arial" w:hAnsi="Arial"/>
      <w:b/>
      <w:i/>
      <w:noProof/>
      <w:sz w:val="18"/>
      <w:lang w:eastAsia="ja-JP"/>
    </w:rPr>
  </w:style>
  <w:style w:type="character" w:customStyle="1" w:styleId="FootnoteTextChar">
    <w:name w:val="Footnote Text Char"/>
    <w:link w:val="FootnoteText"/>
    <w:rsid w:val="008669AB"/>
    <w:rPr>
      <w:rFonts w:ascii="Times New Roman" w:hAnsi="Times New Roman"/>
      <w:sz w:val="16"/>
      <w:lang w:eastAsia="ja-JP"/>
    </w:rPr>
  </w:style>
  <w:style w:type="paragraph" w:customStyle="1" w:styleId="Guidance">
    <w:name w:val="Guidance"/>
    <w:basedOn w:val="Normal"/>
    <w:rsid w:val="008669AB"/>
    <w:rPr>
      <w:i/>
      <w:color w:val="0000FF"/>
    </w:rPr>
  </w:style>
  <w:style w:type="character" w:customStyle="1" w:styleId="Heading2Char">
    <w:name w:val="Heading 2 Char"/>
    <w:link w:val="Heading2"/>
    <w:rsid w:val="008669AB"/>
    <w:rPr>
      <w:rFonts w:ascii="Arial" w:hAnsi="Arial"/>
      <w:sz w:val="32"/>
      <w:lang w:eastAsia="ja-JP"/>
    </w:rPr>
  </w:style>
  <w:style w:type="character" w:customStyle="1" w:styleId="Heading3Char">
    <w:name w:val="Heading 3 Char"/>
    <w:link w:val="Heading3"/>
    <w:rsid w:val="008669AB"/>
    <w:rPr>
      <w:rFonts w:ascii="Arial" w:hAnsi="Arial"/>
      <w:sz w:val="28"/>
      <w:lang w:eastAsia="ja-JP"/>
    </w:rPr>
  </w:style>
  <w:style w:type="character" w:customStyle="1" w:styleId="Heading4Char">
    <w:name w:val="Heading 4 Char"/>
    <w:link w:val="Heading4"/>
    <w:rsid w:val="008669AB"/>
    <w:rPr>
      <w:rFonts w:ascii="Arial" w:hAnsi="Arial"/>
      <w:sz w:val="24"/>
      <w:lang w:eastAsia="ja-JP"/>
    </w:rPr>
  </w:style>
  <w:style w:type="character" w:customStyle="1" w:styleId="Heading5Char">
    <w:name w:val="Heading 5 Char"/>
    <w:link w:val="Heading5"/>
    <w:rsid w:val="008669AB"/>
    <w:rPr>
      <w:rFonts w:ascii="Arial" w:hAnsi="Arial"/>
      <w:sz w:val="22"/>
      <w:lang w:eastAsia="ja-JP"/>
    </w:rPr>
  </w:style>
  <w:style w:type="paragraph" w:customStyle="1" w:styleId="H6">
    <w:name w:val="H6"/>
    <w:basedOn w:val="Heading5"/>
    <w:next w:val="Normal"/>
    <w:rsid w:val="008669AB"/>
    <w:pPr>
      <w:ind w:left="1985" w:hanging="1985"/>
      <w:outlineLvl w:val="9"/>
    </w:pPr>
    <w:rPr>
      <w:sz w:val="20"/>
    </w:rPr>
  </w:style>
  <w:style w:type="character" w:customStyle="1" w:styleId="Heading6Char">
    <w:name w:val="Heading 6 Char"/>
    <w:link w:val="Heading6"/>
    <w:rsid w:val="008669AB"/>
    <w:rPr>
      <w:rFonts w:ascii="Arial" w:hAnsi="Arial"/>
      <w:lang w:eastAsia="ja-JP"/>
    </w:rPr>
  </w:style>
  <w:style w:type="character" w:customStyle="1" w:styleId="Heading7Char">
    <w:name w:val="Heading 7 Char"/>
    <w:link w:val="Heading7"/>
    <w:rsid w:val="008669AB"/>
    <w:rPr>
      <w:rFonts w:ascii="Arial" w:hAnsi="Arial"/>
      <w:lang w:eastAsia="ja-JP"/>
    </w:rPr>
  </w:style>
  <w:style w:type="character" w:customStyle="1" w:styleId="Heading8Char">
    <w:name w:val="Heading 8 Char"/>
    <w:link w:val="Heading8"/>
    <w:rsid w:val="008669AB"/>
    <w:rPr>
      <w:rFonts w:ascii="Arial" w:hAnsi="Arial"/>
      <w:sz w:val="36"/>
      <w:lang w:eastAsia="ja-JP"/>
    </w:rPr>
  </w:style>
  <w:style w:type="character" w:customStyle="1" w:styleId="Heading9Char">
    <w:name w:val="Heading 9 Char"/>
    <w:link w:val="Heading9"/>
    <w:rsid w:val="008669AB"/>
    <w:rPr>
      <w:rFonts w:ascii="Arial" w:hAnsi="Arial"/>
      <w:sz w:val="36"/>
      <w:lang w:eastAsia="ja-JP"/>
    </w:rPr>
  </w:style>
  <w:style w:type="character" w:styleId="HTMLCode">
    <w:name w:val="HTML Code"/>
    <w:uiPriority w:val="99"/>
    <w:unhideWhenUsed/>
    <w:rsid w:val="008669AB"/>
    <w:rPr>
      <w:rFonts w:ascii="Courier New" w:eastAsia="Times New Roman" w:hAnsi="Courier New" w:cs="Courier New"/>
      <w:sz w:val="20"/>
      <w:szCs w:val="20"/>
    </w:rPr>
  </w:style>
  <w:style w:type="paragraph" w:styleId="IndexHeading">
    <w:name w:val="index heading"/>
    <w:basedOn w:val="Normal"/>
    <w:next w:val="Normal"/>
    <w:rsid w:val="008669AB"/>
    <w:pPr>
      <w:pBdr>
        <w:top w:val="single" w:sz="12" w:space="0" w:color="auto"/>
      </w:pBdr>
      <w:spacing w:before="360" w:after="240"/>
    </w:pPr>
    <w:rPr>
      <w:b/>
      <w:i/>
      <w:sz w:val="26"/>
      <w:lang w:eastAsia="en-GB"/>
    </w:rPr>
  </w:style>
  <w:style w:type="paragraph" w:customStyle="1" w:styleId="LD">
    <w:name w:val="LD"/>
    <w:rsid w:val="008669A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669A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669AB"/>
    <w:rPr>
      <w:rFonts w:ascii="Calibri" w:eastAsia="Calibri" w:hAnsi="Calibri"/>
      <w:sz w:val="22"/>
      <w:szCs w:val="22"/>
      <w:lang w:val="x-none" w:eastAsia="en-US"/>
    </w:rPr>
  </w:style>
  <w:style w:type="paragraph" w:customStyle="1" w:styleId="NF">
    <w:name w:val="NF"/>
    <w:basedOn w:val="NO"/>
    <w:rsid w:val="008669AB"/>
    <w:pPr>
      <w:keepNext/>
      <w:spacing w:after="0"/>
    </w:pPr>
    <w:rPr>
      <w:rFonts w:ascii="Arial" w:hAnsi="Arial"/>
      <w:sz w:val="18"/>
    </w:rPr>
  </w:style>
  <w:style w:type="paragraph" w:customStyle="1" w:styleId="NW">
    <w:name w:val="NW"/>
    <w:basedOn w:val="NO"/>
    <w:rsid w:val="008669AB"/>
    <w:pPr>
      <w:spacing w:after="0"/>
    </w:pPr>
  </w:style>
  <w:style w:type="paragraph" w:customStyle="1" w:styleId="PL">
    <w:name w:val="PL"/>
    <w:link w:val="PLChar"/>
    <w:qFormat/>
    <w:rsid w:val="00866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669AB"/>
    <w:rPr>
      <w:rFonts w:ascii="Courier New" w:eastAsia="Batang" w:hAnsi="Courier New"/>
      <w:noProof/>
      <w:sz w:val="16"/>
      <w:shd w:val="clear" w:color="auto" w:fill="E6E6E6"/>
      <w:lang w:eastAsia="sv-SE"/>
    </w:rPr>
  </w:style>
  <w:style w:type="paragraph" w:styleId="PlainText">
    <w:name w:val="Plain Text"/>
    <w:basedOn w:val="Normal"/>
    <w:link w:val="PlainTextChar"/>
    <w:rsid w:val="008669AB"/>
    <w:rPr>
      <w:rFonts w:ascii="Courier New" w:hAnsi="Courier New"/>
      <w:lang w:val="nb-NO"/>
    </w:rPr>
  </w:style>
  <w:style w:type="character" w:customStyle="1" w:styleId="PlainTextChar">
    <w:name w:val="Plain Text Char"/>
    <w:link w:val="PlainText"/>
    <w:rsid w:val="008669AB"/>
    <w:rPr>
      <w:rFonts w:ascii="Courier New" w:hAnsi="Courier New"/>
      <w:lang w:val="nb-NO" w:eastAsia="ja-JP"/>
    </w:rPr>
  </w:style>
  <w:style w:type="character" w:styleId="Strong">
    <w:name w:val="Strong"/>
    <w:uiPriority w:val="22"/>
    <w:qFormat/>
    <w:rsid w:val="008669AB"/>
    <w:rPr>
      <w:b/>
      <w:bCs/>
    </w:rPr>
  </w:style>
  <w:style w:type="table" w:styleId="TableGrid">
    <w:name w:val="Table Grid"/>
    <w:basedOn w:val="TableNormal"/>
    <w:uiPriority w:val="39"/>
    <w:rsid w:val="008669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669AB"/>
    <w:rPr>
      <w:rFonts w:ascii="Arial" w:hAnsi="Arial"/>
      <w:sz w:val="18"/>
      <w:lang w:val="x-none" w:eastAsia="x-none"/>
    </w:rPr>
  </w:style>
  <w:style w:type="character" w:customStyle="1" w:styleId="TAHCar">
    <w:name w:val="TAH Car"/>
    <w:link w:val="TAH"/>
    <w:locked/>
    <w:rsid w:val="008669AB"/>
    <w:rPr>
      <w:rFonts w:ascii="Arial" w:hAnsi="Arial"/>
      <w:b/>
      <w:sz w:val="18"/>
      <w:lang w:val="x-none" w:eastAsia="x-none"/>
    </w:rPr>
  </w:style>
  <w:style w:type="character" w:customStyle="1" w:styleId="THChar">
    <w:name w:val="TH Char"/>
    <w:link w:val="TH"/>
    <w:rsid w:val="008669AB"/>
    <w:rPr>
      <w:rFonts w:ascii="Arial" w:hAnsi="Arial"/>
      <w:b/>
      <w:lang w:val="x-none" w:eastAsia="x-none"/>
    </w:rPr>
  </w:style>
  <w:style w:type="paragraph" w:customStyle="1" w:styleId="TAJ">
    <w:name w:val="TAJ"/>
    <w:basedOn w:val="TH"/>
    <w:rsid w:val="008669AB"/>
  </w:style>
  <w:style w:type="paragraph" w:customStyle="1" w:styleId="TALCharChar">
    <w:name w:val="TAL Char Char"/>
    <w:basedOn w:val="Normal"/>
    <w:link w:val="TALCharCharChar"/>
    <w:rsid w:val="008669A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669AB"/>
    <w:rPr>
      <w:rFonts w:ascii="Arial" w:eastAsia="Malgun Gothic" w:hAnsi="Arial"/>
      <w:sz w:val="18"/>
      <w:lang w:val="x-none" w:eastAsia="x-none"/>
    </w:rPr>
  </w:style>
  <w:style w:type="character" w:customStyle="1" w:styleId="TFChar">
    <w:name w:val="TF Char"/>
    <w:link w:val="TF"/>
    <w:rsid w:val="008669AB"/>
    <w:rPr>
      <w:rFonts w:ascii="Arial" w:hAnsi="Arial"/>
      <w:b/>
      <w:lang w:val="x-none" w:eastAsia="x-none"/>
    </w:rPr>
  </w:style>
  <w:style w:type="paragraph" w:styleId="ListContinue">
    <w:name w:val="List Continue"/>
    <w:basedOn w:val="Normal"/>
    <w:rsid w:val="008669AB"/>
    <w:pPr>
      <w:spacing w:after="120"/>
      <w:ind w:left="283"/>
      <w:contextualSpacing/>
    </w:pPr>
    <w:rPr>
      <w:rFonts w:ascii="Arial" w:hAnsi="Arial"/>
    </w:rPr>
  </w:style>
  <w:style w:type="paragraph" w:styleId="ListContinue2">
    <w:name w:val="List Continue 2"/>
    <w:basedOn w:val="Normal"/>
    <w:rsid w:val="008669AB"/>
    <w:pPr>
      <w:spacing w:after="120"/>
      <w:ind w:left="566"/>
      <w:contextualSpacing/>
    </w:pPr>
    <w:rPr>
      <w:rFonts w:ascii="Arial" w:hAnsi="Arial"/>
    </w:rPr>
  </w:style>
  <w:style w:type="paragraph" w:styleId="ListNumber3">
    <w:name w:val="List Number 3"/>
    <w:basedOn w:val="ListNumber2"/>
    <w:rsid w:val="008669AB"/>
    <w:pPr>
      <w:numPr>
        <w:numId w:val="10"/>
      </w:numPr>
      <w:contextualSpacing/>
    </w:pPr>
  </w:style>
  <w:style w:type="paragraph" w:customStyle="1" w:styleId="LGTdoc">
    <w:name w:val="LGTdoc_본문"/>
    <w:basedOn w:val="Normal"/>
    <w:link w:val="LGTdocChar"/>
    <w:qFormat/>
    <w:rsid w:val="00124BDB"/>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24BDB"/>
    <w:rPr>
      <w:rFonts w:ascii="Times New Roman" w:eastAsia="Batang" w:hAnsi="Times New Roman"/>
      <w:kern w:val="2"/>
      <w:sz w:val="22"/>
      <w:szCs w:val="24"/>
      <w:lang w:eastAsia="ko-KR"/>
    </w:rPr>
  </w:style>
  <w:style w:type="paragraph" w:customStyle="1" w:styleId="0Maintext">
    <w:name w:val="0 Main text"/>
    <w:basedOn w:val="Normal"/>
    <w:link w:val="0MaintextChar"/>
    <w:qFormat/>
    <w:rsid w:val="00C061C6"/>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C061C6"/>
    <w:rPr>
      <w:rFonts w:ascii="Times New Roman" w:eastAsia="Malgun Gothic" w:hAnsi="Times New Roman" w:cs="Batang"/>
      <w:lang w:eastAsia="en-US"/>
    </w:rPr>
  </w:style>
  <w:style w:type="character" w:customStyle="1" w:styleId="TACChar">
    <w:name w:val="TAC Char"/>
    <w:link w:val="TAC"/>
    <w:rsid w:val="0072327E"/>
    <w:rPr>
      <w:rFonts w:ascii="Arial" w:hAnsi="Arial"/>
      <w:sz w:val="18"/>
      <w:lang w:val="x-none" w:eastAsia="x-none"/>
    </w:rPr>
  </w:style>
  <w:style w:type="character" w:customStyle="1" w:styleId="B1Zchn">
    <w:name w:val="B1 Zchn"/>
    <w:qFormat/>
    <w:rsid w:val="00EF76D9"/>
    <w:rPr>
      <w:lang w:eastAsia="en-US"/>
    </w:rPr>
  </w:style>
  <w:style w:type="paragraph" w:styleId="Revision">
    <w:name w:val="Revision"/>
    <w:hidden/>
    <w:uiPriority w:val="99"/>
    <w:semiHidden/>
    <w:rsid w:val="001319C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138410">
      <w:bodyDiv w:val="1"/>
      <w:marLeft w:val="0"/>
      <w:marRight w:val="0"/>
      <w:marTop w:val="0"/>
      <w:marBottom w:val="0"/>
      <w:divBdr>
        <w:top w:val="none" w:sz="0" w:space="0" w:color="auto"/>
        <w:left w:val="none" w:sz="0" w:space="0" w:color="auto"/>
        <w:bottom w:val="none" w:sz="0" w:space="0" w:color="auto"/>
        <w:right w:val="none" w:sz="0" w:space="0" w:color="auto"/>
      </w:divBdr>
    </w:div>
    <w:div w:id="137246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797bbbed9e261a6e8c5278294da2fa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224fcc0b0097639d9528a2679bc1d7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db33437f-65a5-48c5-b537-19efd290f967"/>
    <ds:schemaRef ds:uri="http://purl.org/dc/elements/1.1/"/>
    <ds:schemaRef ds:uri="http://www.w3.org/XML/1998/namespace"/>
    <ds:schemaRef ds:uri="6f846979-0e6f-42ff-8b87-e1893efeda99"/>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EE1624AA-2C37-40D4-B062-91B7DC535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1080C0-18CF-4F47-B19C-0FB016A8F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TotalTime>
  <Pages>12</Pages>
  <Words>4828</Words>
  <Characters>28199</Characters>
  <Application>Microsoft Office Word</Application>
  <DocSecurity>0</DocSecurity>
  <Lines>2014</Lines>
  <Paragraphs>917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32110</CharactersWithSpaces>
  <SharedDoc>false</SharedDoc>
  <HLinks>
    <vt:vector size="270" baseType="variant">
      <vt:variant>
        <vt:i4>1441849</vt:i4>
      </vt:variant>
      <vt:variant>
        <vt:i4>161</vt:i4>
      </vt:variant>
      <vt:variant>
        <vt:i4>0</vt:i4>
      </vt:variant>
      <vt:variant>
        <vt:i4>5</vt:i4>
      </vt:variant>
      <vt:variant>
        <vt:lpwstr/>
      </vt:variant>
      <vt:variant>
        <vt:lpwstr>_Toc20934062</vt:lpwstr>
      </vt:variant>
      <vt:variant>
        <vt:i4>1376313</vt:i4>
      </vt:variant>
      <vt:variant>
        <vt:i4>158</vt:i4>
      </vt:variant>
      <vt:variant>
        <vt:i4>0</vt:i4>
      </vt:variant>
      <vt:variant>
        <vt:i4>5</vt:i4>
      </vt:variant>
      <vt:variant>
        <vt:lpwstr/>
      </vt:variant>
      <vt:variant>
        <vt:lpwstr>_Toc20934061</vt:lpwstr>
      </vt:variant>
      <vt:variant>
        <vt:i4>1310777</vt:i4>
      </vt:variant>
      <vt:variant>
        <vt:i4>155</vt:i4>
      </vt:variant>
      <vt:variant>
        <vt:i4>0</vt:i4>
      </vt:variant>
      <vt:variant>
        <vt:i4>5</vt:i4>
      </vt:variant>
      <vt:variant>
        <vt:lpwstr/>
      </vt:variant>
      <vt:variant>
        <vt:lpwstr>_Toc20934060</vt:lpwstr>
      </vt:variant>
      <vt:variant>
        <vt:i4>1900602</vt:i4>
      </vt:variant>
      <vt:variant>
        <vt:i4>152</vt:i4>
      </vt:variant>
      <vt:variant>
        <vt:i4>0</vt:i4>
      </vt:variant>
      <vt:variant>
        <vt:i4>5</vt:i4>
      </vt:variant>
      <vt:variant>
        <vt:lpwstr/>
      </vt:variant>
      <vt:variant>
        <vt:lpwstr>_Toc20934059</vt:lpwstr>
      </vt:variant>
      <vt:variant>
        <vt:i4>1835066</vt:i4>
      </vt:variant>
      <vt:variant>
        <vt:i4>149</vt:i4>
      </vt:variant>
      <vt:variant>
        <vt:i4>0</vt:i4>
      </vt:variant>
      <vt:variant>
        <vt:i4>5</vt:i4>
      </vt:variant>
      <vt:variant>
        <vt:lpwstr/>
      </vt:variant>
      <vt:variant>
        <vt:lpwstr>_Toc20934058</vt:lpwstr>
      </vt:variant>
      <vt:variant>
        <vt:i4>1245242</vt:i4>
      </vt:variant>
      <vt:variant>
        <vt:i4>146</vt:i4>
      </vt:variant>
      <vt:variant>
        <vt:i4>0</vt:i4>
      </vt:variant>
      <vt:variant>
        <vt:i4>5</vt:i4>
      </vt:variant>
      <vt:variant>
        <vt:lpwstr/>
      </vt:variant>
      <vt:variant>
        <vt:lpwstr>_Toc20934057</vt:lpwstr>
      </vt:variant>
      <vt:variant>
        <vt:i4>1179706</vt:i4>
      </vt:variant>
      <vt:variant>
        <vt:i4>143</vt:i4>
      </vt:variant>
      <vt:variant>
        <vt:i4>0</vt:i4>
      </vt:variant>
      <vt:variant>
        <vt:i4>5</vt:i4>
      </vt:variant>
      <vt:variant>
        <vt:lpwstr/>
      </vt:variant>
      <vt:variant>
        <vt:lpwstr>_Toc20934056</vt:lpwstr>
      </vt:variant>
      <vt:variant>
        <vt:i4>1114170</vt:i4>
      </vt:variant>
      <vt:variant>
        <vt:i4>140</vt:i4>
      </vt:variant>
      <vt:variant>
        <vt:i4>0</vt:i4>
      </vt:variant>
      <vt:variant>
        <vt:i4>5</vt:i4>
      </vt:variant>
      <vt:variant>
        <vt:lpwstr/>
      </vt:variant>
      <vt:variant>
        <vt:lpwstr>_Toc20934055</vt:lpwstr>
      </vt:variant>
      <vt:variant>
        <vt:i4>1048634</vt:i4>
      </vt:variant>
      <vt:variant>
        <vt:i4>137</vt:i4>
      </vt:variant>
      <vt:variant>
        <vt:i4>0</vt:i4>
      </vt:variant>
      <vt:variant>
        <vt:i4>5</vt:i4>
      </vt:variant>
      <vt:variant>
        <vt:lpwstr/>
      </vt:variant>
      <vt:variant>
        <vt:lpwstr>_Toc20934054</vt:lpwstr>
      </vt:variant>
      <vt:variant>
        <vt:i4>1507386</vt:i4>
      </vt:variant>
      <vt:variant>
        <vt:i4>134</vt:i4>
      </vt:variant>
      <vt:variant>
        <vt:i4>0</vt:i4>
      </vt:variant>
      <vt:variant>
        <vt:i4>5</vt:i4>
      </vt:variant>
      <vt:variant>
        <vt:lpwstr/>
      </vt:variant>
      <vt:variant>
        <vt:lpwstr>_Toc20934053</vt:lpwstr>
      </vt:variant>
      <vt:variant>
        <vt:i4>1441850</vt:i4>
      </vt:variant>
      <vt:variant>
        <vt:i4>131</vt:i4>
      </vt:variant>
      <vt:variant>
        <vt:i4>0</vt:i4>
      </vt:variant>
      <vt:variant>
        <vt:i4>5</vt:i4>
      </vt:variant>
      <vt:variant>
        <vt:lpwstr/>
      </vt:variant>
      <vt:variant>
        <vt:lpwstr>_Toc20934052</vt:lpwstr>
      </vt:variant>
      <vt:variant>
        <vt:i4>1376314</vt:i4>
      </vt:variant>
      <vt:variant>
        <vt:i4>128</vt:i4>
      </vt:variant>
      <vt:variant>
        <vt:i4>0</vt:i4>
      </vt:variant>
      <vt:variant>
        <vt:i4>5</vt:i4>
      </vt:variant>
      <vt:variant>
        <vt:lpwstr/>
      </vt:variant>
      <vt:variant>
        <vt:lpwstr>_Toc20934051</vt:lpwstr>
      </vt:variant>
      <vt:variant>
        <vt:i4>1310778</vt:i4>
      </vt:variant>
      <vt:variant>
        <vt:i4>125</vt:i4>
      </vt:variant>
      <vt:variant>
        <vt:i4>0</vt:i4>
      </vt:variant>
      <vt:variant>
        <vt:i4>5</vt:i4>
      </vt:variant>
      <vt:variant>
        <vt:lpwstr/>
      </vt:variant>
      <vt:variant>
        <vt:lpwstr>_Toc20934050</vt:lpwstr>
      </vt:variant>
      <vt:variant>
        <vt:i4>1900603</vt:i4>
      </vt:variant>
      <vt:variant>
        <vt:i4>122</vt:i4>
      </vt:variant>
      <vt:variant>
        <vt:i4>0</vt:i4>
      </vt:variant>
      <vt:variant>
        <vt:i4>5</vt:i4>
      </vt:variant>
      <vt:variant>
        <vt:lpwstr/>
      </vt:variant>
      <vt:variant>
        <vt:lpwstr>_Toc20934049</vt:lpwstr>
      </vt:variant>
      <vt:variant>
        <vt:i4>1835067</vt:i4>
      </vt:variant>
      <vt:variant>
        <vt:i4>119</vt:i4>
      </vt:variant>
      <vt:variant>
        <vt:i4>0</vt:i4>
      </vt:variant>
      <vt:variant>
        <vt:i4>5</vt:i4>
      </vt:variant>
      <vt:variant>
        <vt:lpwstr/>
      </vt:variant>
      <vt:variant>
        <vt:lpwstr>_Toc20934048</vt:lpwstr>
      </vt:variant>
      <vt:variant>
        <vt:i4>1245243</vt:i4>
      </vt:variant>
      <vt:variant>
        <vt:i4>116</vt:i4>
      </vt:variant>
      <vt:variant>
        <vt:i4>0</vt:i4>
      </vt:variant>
      <vt:variant>
        <vt:i4>5</vt:i4>
      </vt:variant>
      <vt:variant>
        <vt:lpwstr/>
      </vt:variant>
      <vt:variant>
        <vt:lpwstr>_Toc20934047</vt:lpwstr>
      </vt:variant>
      <vt:variant>
        <vt:i4>1179707</vt:i4>
      </vt:variant>
      <vt:variant>
        <vt:i4>113</vt:i4>
      </vt:variant>
      <vt:variant>
        <vt:i4>0</vt:i4>
      </vt:variant>
      <vt:variant>
        <vt:i4>5</vt:i4>
      </vt:variant>
      <vt:variant>
        <vt:lpwstr/>
      </vt:variant>
      <vt:variant>
        <vt:lpwstr>_Toc20934046</vt:lpwstr>
      </vt:variant>
      <vt:variant>
        <vt:i4>1114171</vt:i4>
      </vt:variant>
      <vt:variant>
        <vt:i4>110</vt:i4>
      </vt:variant>
      <vt:variant>
        <vt:i4>0</vt:i4>
      </vt:variant>
      <vt:variant>
        <vt:i4>5</vt:i4>
      </vt:variant>
      <vt:variant>
        <vt:lpwstr/>
      </vt:variant>
      <vt:variant>
        <vt:lpwstr>_Toc20934045</vt:lpwstr>
      </vt:variant>
      <vt:variant>
        <vt:i4>1048635</vt:i4>
      </vt:variant>
      <vt:variant>
        <vt:i4>107</vt:i4>
      </vt:variant>
      <vt:variant>
        <vt:i4>0</vt:i4>
      </vt:variant>
      <vt:variant>
        <vt:i4>5</vt:i4>
      </vt:variant>
      <vt:variant>
        <vt:lpwstr/>
      </vt:variant>
      <vt:variant>
        <vt:lpwstr>_Toc20934044</vt:lpwstr>
      </vt:variant>
      <vt:variant>
        <vt:i4>1507387</vt:i4>
      </vt:variant>
      <vt:variant>
        <vt:i4>104</vt:i4>
      </vt:variant>
      <vt:variant>
        <vt:i4>0</vt:i4>
      </vt:variant>
      <vt:variant>
        <vt:i4>5</vt:i4>
      </vt:variant>
      <vt:variant>
        <vt:lpwstr/>
      </vt:variant>
      <vt:variant>
        <vt:lpwstr>_Toc20934043</vt:lpwstr>
      </vt:variant>
      <vt:variant>
        <vt:i4>1441851</vt:i4>
      </vt:variant>
      <vt:variant>
        <vt:i4>101</vt:i4>
      </vt:variant>
      <vt:variant>
        <vt:i4>0</vt:i4>
      </vt:variant>
      <vt:variant>
        <vt:i4>5</vt:i4>
      </vt:variant>
      <vt:variant>
        <vt:lpwstr/>
      </vt:variant>
      <vt:variant>
        <vt:lpwstr>_Toc20934042</vt:lpwstr>
      </vt:variant>
      <vt:variant>
        <vt:i4>1376315</vt:i4>
      </vt:variant>
      <vt:variant>
        <vt:i4>98</vt:i4>
      </vt:variant>
      <vt:variant>
        <vt:i4>0</vt:i4>
      </vt:variant>
      <vt:variant>
        <vt:i4>5</vt:i4>
      </vt:variant>
      <vt:variant>
        <vt:lpwstr/>
      </vt:variant>
      <vt:variant>
        <vt:lpwstr>_Toc20934041</vt:lpwstr>
      </vt:variant>
      <vt:variant>
        <vt:i4>1310779</vt:i4>
      </vt:variant>
      <vt:variant>
        <vt:i4>92</vt:i4>
      </vt:variant>
      <vt:variant>
        <vt:i4>0</vt:i4>
      </vt:variant>
      <vt:variant>
        <vt:i4>5</vt:i4>
      </vt:variant>
      <vt:variant>
        <vt:lpwstr/>
      </vt:variant>
      <vt:variant>
        <vt:lpwstr>_Toc20934040</vt:lpwstr>
      </vt:variant>
      <vt:variant>
        <vt:i4>1900604</vt:i4>
      </vt:variant>
      <vt:variant>
        <vt:i4>89</vt:i4>
      </vt:variant>
      <vt:variant>
        <vt:i4>0</vt:i4>
      </vt:variant>
      <vt:variant>
        <vt:i4>5</vt:i4>
      </vt:variant>
      <vt:variant>
        <vt:lpwstr/>
      </vt:variant>
      <vt:variant>
        <vt:lpwstr>_Toc20934039</vt:lpwstr>
      </vt:variant>
      <vt:variant>
        <vt:i4>1835068</vt:i4>
      </vt:variant>
      <vt:variant>
        <vt:i4>86</vt:i4>
      </vt:variant>
      <vt:variant>
        <vt:i4>0</vt:i4>
      </vt:variant>
      <vt:variant>
        <vt:i4>5</vt:i4>
      </vt:variant>
      <vt:variant>
        <vt:lpwstr/>
      </vt:variant>
      <vt:variant>
        <vt:lpwstr>_Toc20934038</vt:lpwstr>
      </vt:variant>
      <vt:variant>
        <vt:i4>1245244</vt:i4>
      </vt:variant>
      <vt:variant>
        <vt:i4>83</vt:i4>
      </vt:variant>
      <vt:variant>
        <vt:i4>0</vt:i4>
      </vt:variant>
      <vt:variant>
        <vt:i4>5</vt:i4>
      </vt:variant>
      <vt:variant>
        <vt:lpwstr/>
      </vt:variant>
      <vt:variant>
        <vt:lpwstr>_Toc20934037</vt:lpwstr>
      </vt:variant>
      <vt:variant>
        <vt:i4>1179708</vt:i4>
      </vt:variant>
      <vt:variant>
        <vt:i4>80</vt:i4>
      </vt:variant>
      <vt:variant>
        <vt:i4>0</vt:i4>
      </vt:variant>
      <vt:variant>
        <vt:i4>5</vt:i4>
      </vt:variant>
      <vt:variant>
        <vt:lpwstr/>
      </vt:variant>
      <vt:variant>
        <vt:lpwstr>_Toc20934036</vt:lpwstr>
      </vt:variant>
      <vt:variant>
        <vt:i4>1114172</vt:i4>
      </vt:variant>
      <vt:variant>
        <vt:i4>77</vt:i4>
      </vt:variant>
      <vt:variant>
        <vt:i4>0</vt:i4>
      </vt:variant>
      <vt:variant>
        <vt:i4>5</vt:i4>
      </vt:variant>
      <vt:variant>
        <vt:lpwstr/>
      </vt:variant>
      <vt:variant>
        <vt:lpwstr>_Toc20934035</vt:lpwstr>
      </vt:variant>
      <vt:variant>
        <vt:i4>1048636</vt:i4>
      </vt:variant>
      <vt:variant>
        <vt:i4>74</vt:i4>
      </vt:variant>
      <vt:variant>
        <vt:i4>0</vt:i4>
      </vt:variant>
      <vt:variant>
        <vt:i4>5</vt:i4>
      </vt:variant>
      <vt:variant>
        <vt:lpwstr/>
      </vt:variant>
      <vt:variant>
        <vt:lpwstr>_Toc20934034</vt:lpwstr>
      </vt:variant>
      <vt:variant>
        <vt:i4>1507388</vt:i4>
      </vt:variant>
      <vt:variant>
        <vt:i4>71</vt:i4>
      </vt:variant>
      <vt:variant>
        <vt:i4>0</vt:i4>
      </vt:variant>
      <vt:variant>
        <vt:i4>5</vt:i4>
      </vt:variant>
      <vt:variant>
        <vt:lpwstr/>
      </vt:variant>
      <vt:variant>
        <vt:lpwstr>_Toc20934033</vt:lpwstr>
      </vt:variant>
      <vt:variant>
        <vt:i4>1441852</vt:i4>
      </vt:variant>
      <vt:variant>
        <vt:i4>68</vt:i4>
      </vt:variant>
      <vt:variant>
        <vt:i4>0</vt:i4>
      </vt:variant>
      <vt:variant>
        <vt:i4>5</vt:i4>
      </vt:variant>
      <vt:variant>
        <vt:lpwstr/>
      </vt:variant>
      <vt:variant>
        <vt:lpwstr>_Toc20934032</vt:lpwstr>
      </vt:variant>
      <vt:variant>
        <vt:i4>1376316</vt:i4>
      </vt:variant>
      <vt:variant>
        <vt:i4>65</vt:i4>
      </vt:variant>
      <vt:variant>
        <vt:i4>0</vt:i4>
      </vt:variant>
      <vt:variant>
        <vt:i4>5</vt:i4>
      </vt:variant>
      <vt:variant>
        <vt:lpwstr/>
      </vt:variant>
      <vt:variant>
        <vt:lpwstr>_Toc20934031</vt:lpwstr>
      </vt:variant>
      <vt:variant>
        <vt:i4>1310780</vt:i4>
      </vt:variant>
      <vt:variant>
        <vt:i4>62</vt:i4>
      </vt:variant>
      <vt:variant>
        <vt:i4>0</vt:i4>
      </vt:variant>
      <vt:variant>
        <vt:i4>5</vt:i4>
      </vt:variant>
      <vt:variant>
        <vt:lpwstr/>
      </vt:variant>
      <vt:variant>
        <vt:lpwstr>_Toc20934030</vt:lpwstr>
      </vt:variant>
      <vt:variant>
        <vt:i4>1900605</vt:i4>
      </vt:variant>
      <vt:variant>
        <vt:i4>59</vt:i4>
      </vt:variant>
      <vt:variant>
        <vt:i4>0</vt:i4>
      </vt:variant>
      <vt:variant>
        <vt:i4>5</vt:i4>
      </vt:variant>
      <vt:variant>
        <vt:lpwstr/>
      </vt:variant>
      <vt:variant>
        <vt:lpwstr>_Toc20934029</vt:lpwstr>
      </vt:variant>
      <vt:variant>
        <vt:i4>1835069</vt:i4>
      </vt:variant>
      <vt:variant>
        <vt:i4>56</vt:i4>
      </vt:variant>
      <vt:variant>
        <vt:i4>0</vt:i4>
      </vt:variant>
      <vt:variant>
        <vt:i4>5</vt:i4>
      </vt:variant>
      <vt:variant>
        <vt:lpwstr/>
      </vt:variant>
      <vt:variant>
        <vt:lpwstr>_Toc20934028</vt:lpwstr>
      </vt:variant>
      <vt:variant>
        <vt:i4>1245245</vt:i4>
      </vt:variant>
      <vt:variant>
        <vt:i4>53</vt:i4>
      </vt:variant>
      <vt:variant>
        <vt:i4>0</vt:i4>
      </vt:variant>
      <vt:variant>
        <vt:i4>5</vt:i4>
      </vt:variant>
      <vt:variant>
        <vt:lpwstr/>
      </vt:variant>
      <vt:variant>
        <vt:lpwstr>_Toc20934027</vt:lpwstr>
      </vt:variant>
      <vt:variant>
        <vt:i4>1179709</vt:i4>
      </vt:variant>
      <vt:variant>
        <vt:i4>50</vt:i4>
      </vt:variant>
      <vt:variant>
        <vt:i4>0</vt:i4>
      </vt:variant>
      <vt:variant>
        <vt:i4>5</vt:i4>
      </vt:variant>
      <vt:variant>
        <vt:lpwstr/>
      </vt:variant>
      <vt:variant>
        <vt:lpwstr>_Toc20934026</vt:lpwstr>
      </vt:variant>
      <vt:variant>
        <vt:i4>1114173</vt:i4>
      </vt:variant>
      <vt:variant>
        <vt:i4>47</vt:i4>
      </vt:variant>
      <vt:variant>
        <vt:i4>0</vt:i4>
      </vt:variant>
      <vt:variant>
        <vt:i4>5</vt:i4>
      </vt:variant>
      <vt:variant>
        <vt:lpwstr/>
      </vt:variant>
      <vt:variant>
        <vt:lpwstr>_Toc20934025</vt:lpwstr>
      </vt:variant>
      <vt:variant>
        <vt:i4>1048637</vt:i4>
      </vt:variant>
      <vt:variant>
        <vt:i4>44</vt:i4>
      </vt:variant>
      <vt:variant>
        <vt:i4>0</vt:i4>
      </vt:variant>
      <vt:variant>
        <vt:i4>5</vt:i4>
      </vt:variant>
      <vt:variant>
        <vt:lpwstr/>
      </vt:variant>
      <vt:variant>
        <vt:lpwstr>_Toc20934024</vt:lpwstr>
      </vt:variant>
      <vt:variant>
        <vt:i4>1507389</vt:i4>
      </vt:variant>
      <vt:variant>
        <vt:i4>41</vt:i4>
      </vt:variant>
      <vt:variant>
        <vt:i4>0</vt:i4>
      </vt:variant>
      <vt:variant>
        <vt:i4>5</vt:i4>
      </vt:variant>
      <vt:variant>
        <vt:lpwstr/>
      </vt:variant>
      <vt:variant>
        <vt:lpwstr>_Toc20934023</vt:lpwstr>
      </vt:variant>
      <vt:variant>
        <vt:i4>1441853</vt:i4>
      </vt:variant>
      <vt:variant>
        <vt:i4>38</vt:i4>
      </vt:variant>
      <vt:variant>
        <vt:i4>0</vt:i4>
      </vt:variant>
      <vt:variant>
        <vt:i4>5</vt:i4>
      </vt:variant>
      <vt:variant>
        <vt:lpwstr/>
      </vt:variant>
      <vt:variant>
        <vt:lpwstr>_Toc20934022</vt:lpwstr>
      </vt:variant>
      <vt:variant>
        <vt:i4>1376317</vt:i4>
      </vt:variant>
      <vt:variant>
        <vt:i4>35</vt:i4>
      </vt:variant>
      <vt:variant>
        <vt:i4>0</vt:i4>
      </vt:variant>
      <vt:variant>
        <vt:i4>5</vt:i4>
      </vt:variant>
      <vt:variant>
        <vt:lpwstr/>
      </vt:variant>
      <vt:variant>
        <vt:lpwstr>_Toc20934021</vt:lpwstr>
      </vt:variant>
      <vt:variant>
        <vt:i4>1310781</vt:i4>
      </vt:variant>
      <vt:variant>
        <vt:i4>32</vt:i4>
      </vt:variant>
      <vt:variant>
        <vt:i4>0</vt:i4>
      </vt:variant>
      <vt:variant>
        <vt:i4>5</vt:i4>
      </vt:variant>
      <vt:variant>
        <vt:lpwstr/>
      </vt:variant>
      <vt:variant>
        <vt:lpwstr>_Toc20934020</vt:lpwstr>
      </vt:variant>
      <vt:variant>
        <vt:i4>1900606</vt:i4>
      </vt:variant>
      <vt:variant>
        <vt:i4>29</vt:i4>
      </vt:variant>
      <vt:variant>
        <vt:i4>0</vt:i4>
      </vt:variant>
      <vt:variant>
        <vt:i4>5</vt:i4>
      </vt:variant>
      <vt:variant>
        <vt:lpwstr/>
      </vt:variant>
      <vt:variant>
        <vt:lpwstr>_Toc20934019</vt:lpwstr>
      </vt:variant>
      <vt:variant>
        <vt:i4>1835070</vt:i4>
      </vt:variant>
      <vt:variant>
        <vt:i4>26</vt:i4>
      </vt:variant>
      <vt:variant>
        <vt:i4>0</vt:i4>
      </vt:variant>
      <vt:variant>
        <vt:i4>5</vt:i4>
      </vt:variant>
      <vt:variant>
        <vt:lpwstr/>
      </vt:variant>
      <vt:variant>
        <vt:lpwstr>_Toc20934018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cp:revision>
  <cp:lastPrinted>2008-01-31T16:09:00Z</cp:lastPrinted>
  <dcterms:created xsi:type="dcterms:W3CDTF">2019-10-04T14:18:00Z</dcterms:created>
  <dcterms:modified xsi:type="dcterms:W3CDTF">2019-10-04T14:18:00Z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